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00E" w:rsidRPr="00814D3C" w:rsidRDefault="002C2A7A" w:rsidP="00EE2FBE">
      <w:pPr>
        <w:jc w:val="center"/>
        <w:rPr>
          <w:rFonts w:asciiTheme="minorHAnsi" w:hAnsiTheme="minorHAnsi"/>
          <w:b/>
          <w:lang w:val="hr-HR"/>
        </w:rPr>
      </w:pPr>
      <w:r>
        <w:rPr>
          <w:rFonts w:asciiTheme="minorHAnsi" w:hAnsiTheme="minorHAnsi"/>
          <w:b/>
          <w:lang w:val="hr-HR"/>
        </w:rPr>
        <w:t>Društvo za upravljanje investicionim fondovima</w:t>
      </w:r>
      <w:r w:rsidR="0001200E" w:rsidRPr="00814D3C">
        <w:rPr>
          <w:rFonts w:asciiTheme="minorHAnsi" w:hAnsiTheme="minorHAnsi"/>
          <w:b/>
          <w:lang w:val="hr-HR"/>
        </w:rPr>
        <w:t xml:space="preserve"> „KRISTAL INVEST“ AD</w:t>
      </w:r>
    </w:p>
    <w:p w:rsidR="0001200E" w:rsidRPr="00814D3C" w:rsidRDefault="0001200E" w:rsidP="00EE2FBE">
      <w:pPr>
        <w:jc w:val="center"/>
        <w:rPr>
          <w:rFonts w:asciiTheme="minorHAnsi" w:hAnsiTheme="minorHAnsi"/>
          <w:b/>
          <w:lang w:val="hr-HR"/>
        </w:rPr>
      </w:pPr>
      <w:r w:rsidRPr="00814D3C">
        <w:rPr>
          <w:rFonts w:asciiTheme="minorHAnsi" w:hAnsiTheme="minorHAnsi"/>
          <w:b/>
          <w:lang w:val="hr-HR"/>
        </w:rPr>
        <w:t>BANJA</w:t>
      </w:r>
      <w:r w:rsidR="002C2A7A">
        <w:rPr>
          <w:rFonts w:asciiTheme="minorHAnsi" w:hAnsiTheme="minorHAnsi"/>
          <w:b/>
          <w:lang w:val="hr-HR"/>
        </w:rPr>
        <w:t xml:space="preserve"> </w:t>
      </w:r>
      <w:r w:rsidRPr="00814D3C">
        <w:rPr>
          <w:rFonts w:asciiTheme="minorHAnsi" w:hAnsiTheme="minorHAnsi"/>
          <w:b/>
          <w:lang w:val="hr-HR"/>
        </w:rPr>
        <w:t>LUKA</w:t>
      </w:r>
    </w:p>
    <w:p w:rsidR="0001200E" w:rsidRPr="00814D3C" w:rsidRDefault="0001200E" w:rsidP="0001200E">
      <w:pPr>
        <w:jc w:val="both"/>
        <w:rPr>
          <w:rFonts w:asciiTheme="minorHAnsi" w:hAnsiTheme="minorHAnsi"/>
          <w:b/>
          <w:lang w:val="hr-HR"/>
        </w:rPr>
      </w:pPr>
    </w:p>
    <w:p w:rsidR="0001200E" w:rsidRDefault="0001200E" w:rsidP="0001200E">
      <w:pPr>
        <w:jc w:val="both"/>
        <w:rPr>
          <w:rFonts w:asciiTheme="minorHAnsi" w:hAnsiTheme="minorHAnsi"/>
          <w:b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b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b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b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b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b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b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b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b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b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b/>
          <w:lang w:val="hr-HR"/>
        </w:rPr>
      </w:pPr>
    </w:p>
    <w:p w:rsidR="00EE2FBE" w:rsidRPr="00814D3C" w:rsidRDefault="00EE2FBE" w:rsidP="0001200E">
      <w:pPr>
        <w:jc w:val="both"/>
        <w:rPr>
          <w:rFonts w:asciiTheme="minorHAnsi" w:hAnsiTheme="minorHAnsi"/>
          <w:b/>
          <w:lang w:val="hr-HR"/>
        </w:rPr>
      </w:pPr>
    </w:p>
    <w:p w:rsidR="0001200E" w:rsidRPr="00F32FD2" w:rsidRDefault="00EE2FBE" w:rsidP="00F43A09">
      <w:pPr>
        <w:jc w:val="center"/>
        <w:rPr>
          <w:rFonts w:asciiTheme="minorHAnsi" w:hAnsiTheme="minorHAnsi"/>
          <w:b/>
          <w:lang w:val="hr-HR"/>
        </w:rPr>
      </w:pPr>
      <w:r>
        <w:rPr>
          <w:rFonts w:asciiTheme="minorHAnsi" w:hAnsiTheme="minorHAnsi"/>
          <w:b/>
          <w:lang w:val="hr-HR"/>
        </w:rPr>
        <w:t>NAPOMENE</w:t>
      </w:r>
      <w:r w:rsidR="0001200E" w:rsidRPr="00814D3C">
        <w:rPr>
          <w:rFonts w:asciiTheme="minorHAnsi" w:hAnsiTheme="minorHAnsi"/>
          <w:b/>
          <w:lang w:val="hr-HR"/>
        </w:rPr>
        <w:t xml:space="preserve"> UZ FINANSIJ</w:t>
      </w:r>
      <w:r w:rsidR="00EA4D08" w:rsidRPr="00814D3C">
        <w:rPr>
          <w:rFonts w:asciiTheme="minorHAnsi" w:hAnsiTheme="minorHAnsi"/>
          <w:b/>
          <w:lang w:val="hr-HR"/>
        </w:rPr>
        <w:t>SKE IZVJEŠTAJE 01.01.-</w:t>
      </w:r>
      <w:r w:rsidR="00F32FD2">
        <w:rPr>
          <w:rFonts w:asciiTheme="minorHAnsi" w:hAnsiTheme="minorHAnsi"/>
          <w:b/>
          <w:lang w:val="hr-HR"/>
        </w:rPr>
        <w:t>31</w:t>
      </w:r>
      <w:r w:rsidR="00EA4D08" w:rsidRPr="00814D3C">
        <w:rPr>
          <w:rFonts w:asciiTheme="minorHAnsi" w:hAnsiTheme="minorHAnsi"/>
          <w:b/>
          <w:lang w:val="hr-HR"/>
        </w:rPr>
        <w:t>.</w:t>
      </w:r>
      <w:r w:rsidR="00F32FD2">
        <w:rPr>
          <w:rFonts w:asciiTheme="minorHAnsi" w:hAnsiTheme="minorHAnsi"/>
          <w:b/>
          <w:lang w:val="hr-HR"/>
        </w:rPr>
        <w:t>12.</w:t>
      </w:r>
      <w:r w:rsidR="00890DCD">
        <w:rPr>
          <w:rFonts w:asciiTheme="minorHAnsi" w:hAnsiTheme="minorHAnsi"/>
          <w:b/>
          <w:lang w:val="hr-HR"/>
        </w:rPr>
        <w:t>202</w:t>
      </w:r>
      <w:r w:rsidR="00F43A09">
        <w:rPr>
          <w:rFonts w:asciiTheme="minorHAnsi" w:hAnsiTheme="minorHAnsi"/>
          <w:b/>
          <w:lang w:val="hr-HR"/>
        </w:rPr>
        <w:t>4</w:t>
      </w:r>
      <w:r w:rsidR="002927BD">
        <w:rPr>
          <w:rFonts w:asciiTheme="minorHAnsi" w:hAnsiTheme="minorHAnsi"/>
          <w:b/>
          <w:lang w:val="hr-HR"/>
        </w:rPr>
        <w:t>.</w:t>
      </w:r>
      <w:r w:rsidR="0001200E" w:rsidRPr="00814D3C">
        <w:rPr>
          <w:rFonts w:asciiTheme="minorHAnsi" w:hAnsiTheme="minorHAnsi"/>
          <w:b/>
          <w:lang w:val="hr-HR"/>
        </w:rPr>
        <w:t>godine</w:t>
      </w:r>
    </w:p>
    <w:p w:rsidR="0001200E" w:rsidRDefault="0001200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Pr="00C0231D" w:rsidRDefault="00F43A09" w:rsidP="0001200E">
      <w:pPr>
        <w:jc w:val="both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>Februar, 2025</w:t>
      </w: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Default="00EE2FBE" w:rsidP="0001200E">
      <w:pPr>
        <w:jc w:val="both"/>
        <w:rPr>
          <w:rFonts w:asciiTheme="minorHAnsi" w:hAnsiTheme="minorHAnsi"/>
          <w:lang w:val="hr-HR"/>
        </w:rPr>
      </w:pPr>
    </w:p>
    <w:p w:rsidR="00EE2FBE" w:rsidRPr="00814D3C" w:rsidRDefault="00EE2FBE" w:rsidP="0001200E">
      <w:pPr>
        <w:jc w:val="both"/>
        <w:rPr>
          <w:rFonts w:asciiTheme="minorHAnsi" w:hAnsiTheme="minorHAnsi"/>
          <w:lang w:val="hr-HR"/>
        </w:rPr>
      </w:pPr>
    </w:p>
    <w:p w:rsidR="0001200E" w:rsidRPr="00EE2FBE" w:rsidRDefault="00837DC3" w:rsidP="00EE2FBE">
      <w:pPr>
        <w:pStyle w:val="ListParagraph"/>
        <w:numPr>
          <w:ilvl w:val="0"/>
          <w:numId w:val="4"/>
        </w:numPr>
        <w:jc w:val="both"/>
        <w:rPr>
          <w:rFonts w:asciiTheme="minorHAnsi" w:hAnsiTheme="minorHAnsi"/>
          <w:b/>
          <w:lang w:val="hr-HR"/>
        </w:rPr>
      </w:pPr>
      <w:r>
        <w:rPr>
          <w:rFonts w:asciiTheme="minorHAnsi" w:hAnsiTheme="minorHAnsi"/>
          <w:b/>
          <w:lang w:val="hr-HR"/>
        </w:rPr>
        <w:t xml:space="preserve">OSNOVNE INFORMACIJE O DRUŠTVU </w:t>
      </w:r>
    </w:p>
    <w:p w:rsidR="0001200E" w:rsidRDefault="0001200E" w:rsidP="0001200E">
      <w:pPr>
        <w:jc w:val="both"/>
        <w:rPr>
          <w:rFonts w:asciiTheme="minorHAnsi" w:hAnsiTheme="minorHAnsi"/>
          <w:b/>
          <w:lang w:val="hr-HR"/>
        </w:rPr>
      </w:pPr>
    </w:p>
    <w:p w:rsidR="00837DC3" w:rsidRDefault="00837DC3" w:rsidP="0001200E">
      <w:pPr>
        <w:jc w:val="both"/>
        <w:rPr>
          <w:rFonts w:asciiTheme="minorHAnsi" w:hAnsiTheme="minorHAnsi"/>
          <w:b/>
          <w:lang w:val="hr-HR"/>
        </w:rPr>
      </w:pPr>
    </w:p>
    <w:p w:rsidR="00837DC3" w:rsidRDefault="00837DC3" w:rsidP="0001200E">
      <w:pPr>
        <w:jc w:val="both"/>
        <w:rPr>
          <w:rFonts w:asciiTheme="minorHAnsi" w:hAnsiTheme="minorHAnsi"/>
          <w:b/>
          <w:lang w:val="hr-HR"/>
        </w:rPr>
      </w:pPr>
    </w:p>
    <w:p w:rsidR="00837DC3" w:rsidRDefault="001D70B4" w:rsidP="0001200E">
      <w:pPr>
        <w:jc w:val="both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 xml:space="preserve">Društvo za upravljanje investicionim fondovima „Kristal invest“ a.d., Banja Luka je osnovano 2007. </w:t>
      </w:r>
      <w:r w:rsidR="00882E82">
        <w:rPr>
          <w:rFonts w:asciiTheme="minorHAnsi" w:hAnsiTheme="minorHAnsi"/>
          <w:lang w:val="hr-HR"/>
        </w:rPr>
        <w:t>g</w:t>
      </w:r>
      <w:r>
        <w:rPr>
          <w:rFonts w:asciiTheme="minorHAnsi" w:hAnsiTheme="minorHAnsi"/>
          <w:lang w:val="hr-HR"/>
        </w:rPr>
        <w:t xml:space="preserve">odine u procesu transformacije prema Zakonu o investicionim fondovima </w:t>
      </w:r>
      <w:r w:rsidR="00882E82">
        <w:rPr>
          <w:rFonts w:asciiTheme="minorHAnsi" w:hAnsiTheme="minorHAnsi"/>
          <w:lang w:val="hr-HR"/>
        </w:rPr>
        <w:t>i pravni je sljedbenik društva za upravljanje privatizacionim investicionim fondom „Kristal invest“ a.d. koje je osnovano 2000. godine.</w:t>
      </w:r>
    </w:p>
    <w:p w:rsidR="001D70B4" w:rsidRPr="001D70B4" w:rsidRDefault="001D70B4" w:rsidP="0001200E">
      <w:pPr>
        <w:jc w:val="both"/>
        <w:rPr>
          <w:rFonts w:asciiTheme="minorHAnsi" w:hAnsiTheme="minorHAnsi"/>
          <w:lang w:val="hr-HR"/>
        </w:rPr>
      </w:pPr>
    </w:p>
    <w:p w:rsidR="00A33455" w:rsidRDefault="00A33455" w:rsidP="0001200E">
      <w:pPr>
        <w:jc w:val="both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 xml:space="preserve">Matični broj: </w:t>
      </w:r>
      <w:r w:rsidR="0001200E" w:rsidRPr="00814D3C">
        <w:rPr>
          <w:rFonts w:asciiTheme="minorHAnsi" w:hAnsiTheme="minorHAnsi"/>
          <w:lang w:val="hr-HR"/>
        </w:rPr>
        <w:t>01935615</w:t>
      </w:r>
    </w:p>
    <w:p w:rsidR="0001200E" w:rsidRPr="00814D3C" w:rsidRDefault="0001200E" w:rsidP="0001200E">
      <w:pPr>
        <w:jc w:val="both"/>
        <w:rPr>
          <w:rFonts w:asciiTheme="minorHAnsi" w:hAnsiTheme="minorHAnsi"/>
          <w:lang w:val="hr-HR"/>
        </w:rPr>
      </w:pPr>
      <w:r w:rsidRPr="00814D3C">
        <w:rPr>
          <w:rFonts w:asciiTheme="minorHAnsi" w:hAnsiTheme="minorHAnsi"/>
          <w:lang w:val="hr-HR"/>
        </w:rPr>
        <w:t xml:space="preserve">JIB </w:t>
      </w:r>
      <w:r w:rsidR="00A33455">
        <w:rPr>
          <w:rFonts w:asciiTheme="minorHAnsi" w:hAnsiTheme="minorHAnsi"/>
          <w:lang w:val="hr-HR"/>
        </w:rPr>
        <w:t xml:space="preserve">Društva: </w:t>
      </w:r>
      <w:r w:rsidRPr="00814D3C">
        <w:rPr>
          <w:rFonts w:asciiTheme="minorHAnsi" w:hAnsiTheme="minorHAnsi"/>
          <w:lang w:val="hr-HR"/>
        </w:rPr>
        <w:t>4400819920004</w:t>
      </w:r>
    </w:p>
    <w:p w:rsidR="0001200E" w:rsidRDefault="0001200E" w:rsidP="0001200E">
      <w:pPr>
        <w:jc w:val="both"/>
        <w:rPr>
          <w:rFonts w:asciiTheme="minorHAnsi" w:hAnsiTheme="minorHAnsi"/>
          <w:lang w:val="hr-HR"/>
        </w:rPr>
      </w:pPr>
      <w:r w:rsidRPr="00814D3C">
        <w:rPr>
          <w:rFonts w:asciiTheme="minorHAnsi" w:hAnsiTheme="minorHAnsi"/>
          <w:lang w:val="hr-HR"/>
        </w:rPr>
        <w:t xml:space="preserve">Sjedište </w:t>
      </w:r>
      <w:r w:rsidR="00A33455">
        <w:rPr>
          <w:rFonts w:asciiTheme="minorHAnsi" w:hAnsiTheme="minorHAnsi"/>
          <w:lang w:val="hr-HR"/>
        </w:rPr>
        <w:t>i adresa: Banja Luka, Milana Rakića 1</w:t>
      </w:r>
    </w:p>
    <w:p w:rsidR="00882E82" w:rsidRDefault="00882E82" w:rsidP="0001200E">
      <w:pPr>
        <w:jc w:val="both"/>
        <w:rPr>
          <w:rFonts w:asciiTheme="minorHAnsi" w:hAnsiTheme="minorHAnsi"/>
          <w:lang w:val="hr-HR"/>
        </w:rPr>
      </w:pPr>
      <w:r w:rsidRPr="009113C7">
        <w:rPr>
          <w:rFonts w:asciiTheme="minorHAnsi" w:hAnsiTheme="minorHAnsi"/>
          <w:lang w:val="hr-HR"/>
        </w:rPr>
        <w:t>Reg.br sud:</w:t>
      </w:r>
      <w:r>
        <w:rPr>
          <w:rFonts w:asciiTheme="minorHAnsi" w:hAnsiTheme="minorHAnsi"/>
          <w:lang w:val="hr-HR"/>
        </w:rPr>
        <w:t xml:space="preserve"> </w:t>
      </w:r>
      <w:r w:rsidR="00DA23D5">
        <w:rPr>
          <w:rFonts w:asciiTheme="minorHAnsi" w:hAnsiTheme="minorHAnsi"/>
          <w:lang w:val="hr-HR"/>
        </w:rPr>
        <w:t>1-11735-00</w:t>
      </w:r>
    </w:p>
    <w:p w:rsidR="00A33455" w:rsidRDefault="00A33455" w:rsidP="0001200E">
      <w:pPr>
        <w:jc w:val="both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 xml:space="preserve">Osnovna djelatnost : upravljanje investicionim fondovima </w:t>
      </w:r>
      <w:r w:rsidR="00DA23D5">
        <w:rPr>
          <w:rFonts w:asciiTheme="minorHAnsi" w:hAnsiTheme="minorHAnsi"/>
          <w:lang w:val="hr-HR"/>
        </w:rPr>
        <w:t>66.30</w:t>
      </w:r>
    </w:p>
    <w:p w:rsidR="00882E82" w:rsidRDefault="003E491F" w:rsidP="0001200E">
      <w:pPr>
        <w:jc w:val="both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>Organi Društva:</w:t>
      </w:r>
    </w:p>
    <w:p w:rsidR="003E491F" w:rsidRDefault="003E491F" w:rsidP="0001200E">
      <w:pPr>
        <w:jc w:val="both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 xml:space="preserve">Skupština, kao organ vlasnika </w:t>
      </w:r>
    </w:p>
    <w:p w:rsidR="003E491F" w:rsidRDefault="003E491F" w:rsidP="0001200E">
      <w:pPr>
        <w:jc w:val="both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 xml:space="preserve">Upravni odbor, kao organ upravljanja </w:t>
      </w:r>
    </w:p>
    <w:p w:rsidR="003E491F" w:rsidRDefault="003E491F" w:rsidP="0001200E">
      <w:pPr>
        <w:jc w:val="both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 xml:space="preserve">Izvršni direktori , kao organi poslovođenja </w:t>
      </w:r>
    </w:p>
    <w:p w:rsidR="00882E82" w:rsidRDefault="003E491F" w:rsidP="0001200E">
      <w:pPr>
        <w:jc w:val="both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>Društvo zapošljava 10 radnik</w:t>
      </w:r>
      <w:r w:rsidR="0097227E">
        <w:rPr>
          <w:rFonts w:asciiTheme="minorHAnsi" w:hAnsiTheme="minorHAnsi"/>
          <w:lang w:val="hr-HR"/>
        </w:rPr>
        <w:t>a</w:t>
      </w:r>
      <w:r>
        <w:rPr>
          <w:rFonts w:asciiTheme="minorHAnsi" w:hAnsiTheme="minorHAnsi"/>
          <w:lang w:val="hr-HR"/>
        </w:rPr>
        <w:t xml:space="preserve"> </w:t>
      </w:r>
    </w:p>
    <w:p w:rsidR="00A33455" w:rsidRDefault="00A33455" w:rsidP="0001200E">
      <w:pPr>
        <w:jc w:val="both"/>
        <w:rPr>
          <w:rFonts w:asciiTheme="minorHAnsi" w:hAnsiTheme="minorHAnsi"/>
          <w:lang w:val="hr-HR"/>
        </w:rPr>
      </w:pPr>
    </w:p>
    <w:p w:rsidR="0001200E" w:rsidRDefault="0001200E" w:rsidP="0001200E">
      <w:pPr>
        <w:jc w:val="both"/>
        <w:rPr>
          <w:rFonts w:asciiTheme="minorHAnsi" w:hAnsiTheme="minorHAnsi"/>
          <w:lang w:val="hr-HR"/>
        </w:rPr>
      </w:pPr>
      <w:r w:rsidRPr="00814D3C">
        <w:rPr>
          <w:rFonts w:asciiTheme="minorHAnsi" w:hAnsiTheme="minorHAnsi"/>
          <w:lang w:val="hr-HR"/>
        </w:rPr>
        <w:t xml:space="preserve">Razvrstava se u veliko pravno </w:t>
      </w:r>
      <w:r w:rsidR="00CF19C3" w:rsidRPr="00814D3C">
        <w:rPr>
          <w:rFonts w:asciiTheme="minorHAnsi" w:hAnsiTheme="minorHAnsi"/>
          <w:lang w:val="hr-HR"/>
        </w:rPr>
        <w:t>lice u skladu sa čl. 5 stav 8</w:t>
      </w:r>
      <w:r w:rsidRPr="00814D3C">
        <w:rPr>
          <w:rFonts w:asciiTheme="minorHAnsi" w:hAnsiTheme="minorHAnsi"/>
          <w:lang w:val="hr-HR"/>
        </w:rPr>
        <w:t>) Zakona o računovodstvu i re</w:t>
      </w:r>
      <w:r w:rsidR="00CF19C3" w:rsidRPr="00814D3C">
        <w:rPr>
          <w:rFonts w:asciiTheme="minorHAnsi" w:hAnsiTheme="minorHAnsi"/>
          <w:lang w:val="hr-HR"/>
        </w:rPr>
        <w:t>viziji RS. (Sl.glasnik RS br. 94 od 16</w:t>
      </w:r>
      <w:r w:rsidRPr="00814D3C">
        <w:rPr>
          <w:rFonts w:asciiTheme="minorHAnsi" w:hAnsiTheme="minorHAnsi"/>
          <w:lang w:val="hr-HR"/>
        </w:rPr>
        <w:t>.</w:t>
      </w:r>
      <w:r w:rsidR="00CF19C3" w:rsidRPr="00814D3C">
        <w:rPr>
          <w:rFonts w:asciiTheme="minorHAnsi" w:hAnsiTheme="minorHAnsi"/>
          <w:lang w:val="hr-HR"/>
        </w:rPr>
        <w:t>11.2015.</w:t>
      </w:r>
      <w:r w:rsidRPr="00814D3C">
        <w:rPr>
          <w:rFonts w:asciiTheme="minorHAnsi" w:hAnsiTheme="minorHAnsi"/>
          <w:lang w:val="hr-HR"/>
        </w:rPr>
        <w:t xml:space="preserve"> god.)</w:t>
      </w:r>
    </w:p>
    <w:p w:rsidR="00BD3DCD" w:rsidRPr="00814D3C" w:rsidRDefault="00BD3DCD" w:rsidP="0001200E">
      <w:pPr>
        <w:jc w:val="both"/>
        <w:rPr>
          <w:rFonts w:asciiTheme="minorHAnsi" w:hAnsiTheme="minorHAnsi"/>
          <w:lang w:val="hr-HR"/>
        </w:rPr>
      </w:pPr>
    </w:p>
    <w:p w:rsidR="00E80565" w:rsidRDefault="00CF19C3" w:rsidP="00E80565">
      <w:pPr>
        <w:jc w:val="both"/>
        <w:rPr>
          <w:rFonts w:asciiTheme="minorHAnsi" w:hAnsiTheme="minorHAnsi"/>
          <w:lang w:val="hr-HR"/>
        </w:rPr>
      </w:pPr>
      <w:r w:rsidRPr="00814D3C">
        <w:rPr>
          <w:rFonts w:asciiTheme="minorHAnsi" w:hAnsiTheme="minorHAnsi"/>
          <w:lang w:val="hr-HR"/>
        </w:rPr>
        <w:t>Društvo</w:t>
      </w:r>
      <w:r w:rsidR="00E80565">
        <w:rPr>
          <w:rFonts w:asciiTheme="minorHAnsi" w:hAnsiTheme="minorHAnsi"/>
          <w:lang w:val="hr-HR"/>
        </w:rPr>
        <w:t xml:space="preserve"> upravlja:</w:t>
      </w:r>
    </w:p>
    <w:p w:rsidR="00794C34" w:rsidRDefault="00794C34" w:rsidP="00E80565">
      <w:pPr>
        <w:jc w:val="both"/>
        <w:rPr>
          <w:rFonts w:asciiTheme="minorHAnsi" w:hAnsiTheme="minorHAnsi"/>
          <w:lang w:val="hr-HR"/>
        </w:rPr>
      </w:pPr>
    </w:p>
    <w:p w:rsidR="00C26805" w:rsidRDefault="002A59B6" w:rsidP="0001200E">
      <w:pPr>
        <w:jc w:val="both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>Otvorenim akcijskim</w:t>
      </w:r>
      <w:r w:rsidR="00C26805">
        <w:rPr>
          <w:rFonts w:asciiTheme="minorHAnsi" w:hAnsiTheme="minorHAnsi"/>
          <w:lang w:val="hr-HR"/>
        </w:rPr>
        <w:t xml:space="preserve"> investicionim fondom Future fund-om</w:t>
      </w:r>
    </w:p>
    <w:p w:rsidR="00C26805" w:rsidRDefault="00124A73" w:rsidP="0001200E">
      <w:pPr>
        <w:jc w:val="both"/>
        <w:rPr>
          <w:rFonts w:asciiTheme="minorHAnsi" w:hAnsiTheme="minorHAnsi"/>
          <w:lang w:val="sr-Latn-BA"/>
        </w:rPr>
      </w:pPr>
      <w:r>
        <w:rPr>
          <w:rFonts w:asciiTheme="minorHAnsi" w:hAnsiTheme="minorHAnsi"/>
          <w:lang w:val="sr-Latn-BA"/>
        </w:rPr>
        <w:t>Otvorenim mješovitim investic</w:t>
      </w:r>
      <w:r w:rsidR="00C26805">
        <w:rPr>
          <w:rFonts w:asciiTheme="minorHAnsi" w:hAnsiTheme="minorHAnsi"/>
          <w:lang w:val="sr-Latn-BA"/>
        </w:rPr>
        <w:t>ionim fondom Maximus fund-om</w:t>
      </w:r>
    </w:p>
    <w:p w:rsidR="00794C34" w:rsidRDefault="00794C34" w:rsidP="0001200E">
      <w:pPr>
        <w:jc w:val="both"/>
        <w:rPr>
          <w:rFonts w:asciiTheme="minorHAnsi" w:hAnsiTheme="minorHAnsi"/>
          <w:lang w:val="sr-Latn-BA"/>
        </w:rPr>
      </w:pPr>
    </w:p>
    <w:p w:rsidR="0001200E" w:rsidRDefault="0001200E" w:rsidP="0001200E">
      <w:pPr>
        <w:jc w:val="both"/>
        <w:rPr>
          <w:rFonts w:asciiTheme="minorHAnsi" w:hAnsiTheme="minorHAnsi"/>
          <w:b/>
          <w:lang w:val="hr-HR"/>
        </w:rPr>
      </w:pPr>
    </w:p>
    <w:p w:rsidR="00837DC3" w:rsidRPr="00EE2FBE" w:rsidRDefault="00837DC3" w:rsidP="00837DC3">
      <w:pPr>
        <w:pStyle w:val="ListParagraph"/>
        <w:numPr>
          <w:ilvl w:val="0"/>
          <w:numId w:val="4"/>
        </w:numPr>
        <w:jc w:val="both"/>
        <w:rPr>
          <w:rFonts w:asciiTheme="minorHAnsi" w:hAnsiTheme="minorHAnsi"/>
          <w:b/>
          <w:lang w:val="hr-HR"/>
        </w:rPr>
      </w:pPr>
      <w:r>
        <w:rPr>
          <w:rFonts w:asciiTheme="minorHAnsi" w:hAnsiTheme="minorHAnsi"/>
          <w:b/>
          <w:lang w:val="hr-HR"/>
        </w:rPr>
        <w:t xml:space="preserve">OSNOVE ZA SASTAVLJANJE I PREZENTACIJU FINANSIJSKIH IZVJEŠTAJA </w:t>
      </w:r>
    </w:p>
    <w:p w:rsidR="00837DC3" w:rsidRDefault="00837DC3" w:rsidP="0001200E">
      <w:pPr>
        <w:jc w:val="both"/>
        <w:rPr>
          <w:rFonts w:asciiTheme="minorHAnsi" w:hAnsiTheme="minorHAnsi"/>
          <w:b/>
          <w:lang w:val="hr-HR"/>
        </w:rPr>
      </w:pPr>
    </w:p>
    <w:p w:rsidR="00837DC3" w:rsidRPr="00AD5C5E" w:rsidRDefault="00E52FEE" w:rsidP="00AD5C5E">
      <w:pPr>
        <w:pStyle w:val="ListParagraph"/>
        <w:numPr>
          <w:ilvl w:val="0"/>
          <w:numId w:val="9"/>
        </w:numPr>
        <w:jc w:val="both"/>
        <w:rPr>
          <w:rFonts w:asciiTheme="minorHAnsi" w:hAnsiTheme="minorHAnsi"/>
          <w:lang w:val="hr-HR"/>
        </w:rPr>
      </w:pPr>
      <w:r w:rsidRPr="00AD5C5E">
        <w:rPr>
          <w:rFonts w:asciiTheme="minorHAnsi" w:hAnsiTheme="minorHAnsi"/>
          <w:lang w:val="hr-HR"/>
        </w:rPr>
        <w:t xml:space="preserve">Finansijski izvještaji društva su sastavljeni u skladu sa Zakonom o računovodstvu i reviziji Republije Srpske i </w:t>
      </w:r>
      <w:r w:rsidR="00E124A6" w:rsidRPr="00AD5C5E">
        <w:rPr>
          <w:rFonts w:asciiTheme="minorHAnsi" w:hAnsiTheme="minorHAnsi"/>
          <w:lang w:val="hr-HR"/>
        </w:rPr>
        <w:t>drugim računovodstvenim propisima i profesionalnom regulativom koja se primjenjuje u Republici Srpskoj.</w:t>
      </w:r>
    </w:p>
    <w:p w:rsidR="00AD5C5E" w:rsidRDefault="00AD5C5E" w:rsidP="0001200E">
      <w:pPr>
        <w:jc w:val="both"/>
        <w:rPr>
          <w:rFonts w:asciiTheme="minorHAnsi" w:hAnsiTheme="minorHAnsi"/>
          <w:lang w:val="hr-HR"/>
        </w:rPr>
      </w:pPr>
    </w:p>
    <w:p w:rsidR="00AD5C5E" w:rsidRPr="00E52FEE" w:rsidRDefault="00AD5C5E" w:rsidP="0001200E">
      <w:pPr>
        <w:jc w:val="both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 xml:space="preserve">Funkcionalna valuta prezentacije finansijskih izvještaja je konvertibilna marka BAM. Centralna banka </w:t>
      </w:r>
      <w:r w:rsidR="007E4F32">
        <w:rPr>
          <w:rFonts w:asciiTheme="minorHAnsi" w:hAnsiTheme="minorHAnsi"/>
          <w:lang w:val="hr-HR"/>
        </w:rPr>
        <w:t>Bi</w:t>
      </w:r>
      <w:r>
        <w:rPr>
          <w:rFonts w:asciiTheme="minorHAnsi" w:hAnsiTheme="minorHAnsi"/>
          <w:lang w:val="hr-HR"/>
        </w:rPr>
        <w:t>H sprovodi politiku kursa na principu valutnog odbora prema kojem je BAM vezan za EUR u odnosu 1</w:t>
      </w:r>
      <w:r w:rsidR="007E4F32">
        <w:rPr>
          <w:rFonts w:asciiTheme="minorHAnsi" w:hAnsiTheme="minorHAnsi"/>
          <w:lang w:val="hr-HR"/>
        </w:rPr>
        <w:t xml:space="preserve"> </w:t>
      </w:r>
      <w:r>
        <w:rPr>
          <w:rFonts w:asciiTheme="minorHAnsi" w:hAnsiTheme="minorHAnsi"/>
          <w:lang w:val="hr-HR"/>
        </w:rPr>
        <w:t>BAM = 0,51129 EUR.</w:t>
      </w:r>
    </w:p>
    <w:p w:rsidR="00B844EB" w:rsidRDefault="00B844EB" w:rsidP="0001200E">
      <w:pPr>
        <w:jc w:val="both"/>
        <w:rPr>
          <w:rFonts w:asciiTheme="minorHAnsi" w:hAnsiTheme="minorHAnsi"/>
          <w:b/>
          <w:lang w:val="hr-HR"/>
        </w:rPr>
      </w:pPr>
    </w:p>
    <w:p w:rsidR="0011754C" w:rsidRDefault="00B844EB" w:rsidP="0001200E">
      <w:pPr>
        <w:jc w:val="both"/>
        <w:rPr>
          <w:rFonts w:asciiTheme="minorHAnsi" w:hAnsiTheme="minorHAnsi"/>
          <w:lang w:val="hr-HR"/>
        </w:rPr>
      </w:pPr>
      <w:r w:rsidRPr="00B844EB">
        <w:rPr>
          <w:rFonts w:asciiTheme="minorHAnsi" w:hAnsiTheme="minorHAnsi"/>
          <w:lang w:val="hr-HR"/>
        </w:rPr>
        <w:t>Uticaj i primjena novih i revidiranih standarda MRS/MSFI</w:t>
      </w:r>
    </w:p>
    <w:p w:rsidR="00B844EB" w:rsidRDefault="00B844EB" w:rsidP="0001200E">
      <w:pPr>
        <w:jc w:val="both"/>
        <w:rPr>
          <w:rFonts w:asciiTheme="minorHAnsi" w:hAnsiTheme="minorHAnsi"/>
          <w:lang w:val="hr-HR"/>
        </w:rPr>
      </w:pPr>
    </w:p>
    <w:p w:rsidR="00B844EB" w:rsidRPr="00B844EB" w:rsidRDefault="00B844EB" w:rsidP="0001200E">
      <w:pPr>
        <w:jc w:val="both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>Pri</w:t>
      </w:r>
      <w:r w:rsidR="00CE54A7">
        <w:rPr>
          <w:rFonts w:asciiTheme="minorHAnsi" w:hAnsiTheme="minorHAnsi"/>
          <w:lang w:val="hr-HR"/>
        </w:rPr>
        <w:t xml:space="preserve">mjena MSFI - </w:t>
      </w:r>
      <w:r>
        <w:rPr>
          <w:rFonts w:asciiTheme="minorHAnsi" w:hAnsiTheme="minorHAnsi"/>
          <w:lang w:val="hr-HR"/>
        </w:rPr>
        <w:t>15</w:t>
      </w:r>
      <w:r w:rsidR="00CE54A7">
        <w:rPr>
          <w:rFonts w:asciiTheme="minorHAnsi" w:hAnsiTheme="minorHAnsi"/>
          <w:lang w:val="hr-HR"/>
        </w:rPr>
        <w:t xml:space="preserve">  Prihodi od ugovora s kupcima </w:t>
      </w:r>
      <w:r>
        <w:rPr>
          <w:rFonts w:asciiTheme="minorHAnsi" w:hAnsiTheme="minorHAnsi"/>
          <w:lang w:val="hr-HR"/>
        </w:rPr>
        <w:t xml:space="preserve">nije uticala na način priznavanja </w:t>
      </w:r>
      <w:r w:rsidR="00AF247B">
        <w:rPr>
          <w:rFonts w:asciiTheme="minorHAnsi" w:hAnsiTheme="minorHAnsi"/>
          <w:lang w:val="hr-HR"/>
        </w:rPr>
        <w:t>prihoda od osnovne djelatnosti Društva.</w:t>
      </w:r>
    </w:p>
    <w:p w:rsidR="0001200E" w:rsidRDefault="0001200E" w:rsidP="0001200E">
      <w:pPr>
        <w:jc w:val="both"/>
        <w:rPr>
          <w:rFonts w:asciiTheme="minorHAnsi" w:hAnsiTheme="minorHAnsi"/>
          <w:b/>
          <w:highlight w:val="yellow"/>
          <w:lang w:val="hr-HR"/>
        </w:rPr>
      </w:pPr>
    </w:p>
    <w:p w:rsidR="00085957" w:rsidRPr="00814D3C" w:rsidRDefault="00085957" w:rsidP="0001200E">
      <w:pPr>
        <w:jc w:val="both"/>
        <w:rPr>
          <w:rFonts w:asciiTheme="minorHAnsi" w:hAnsiTheme="minorHAnsi"/>
          <w:b/>
          <w:highlight w:val="yellow"/>
          <w:lang w:val="hr-HR"/>
        </w:rPr>
      </w:pPr>
    </w:p>
    <w:p w:rsidR="0001200E" w:rsidRPr="00EE2FBE" w:rsidRDefault="00EE2FBE" w:rsidP="00837DC3">
      <w:pPr>
        <w:pStyle w:val="ListParagraph"/>
        <w:numPr>
          <w:ilvl w:val="0"/>
          <w:numId w:val="4"/>
        </w:numPr>
        <w:jc w:val="both"/>
        <w:rPr>
          <w:rFonts w:asciiTheme="minorHAnsi" w:hAnsiTheme="minorHAnsi"/>
          <w:b/>
          <w:lang w:val="hr-HR"/>
        </w:rPr>
      </w:pPr>
      <w:r w:rsidRPr="00EE2FBE">
        <w:rPr>
          <w:rFonts w:asciiTheme="minorHAnsi" w:hAnsiTheme="minorHAnsi"/>
          <w:b/>
          <w:lang w:val="hr-HR"/>
        </w:rPr>
        <w:lastRenderedPageBreak/>
        <w:t xml:space="preserve">PREGLED ZNAČAJNIH RAČUNOVODSTVENIH POLITIKA </w:t>
      </w:r>
    </w:p>
    <w:p w:rsidR="0001200E" w:rsidRDefault="0001200E" w:rsidP="0001200E">
      <w:pPr>
        <w:jc w:val="both"/>
        <w:rPr>
          <w:rFonts w:asciiTheme="minorHAnsi" w:hAnsiTheme="minorHAnsi"/>
          <w:b/>
          <w:lang w:val="hr-HR"/>
        </w:rPr>
      </w:pPr>
    </w:p>
    <w:p w:rsidR="0011754C" w:rsidRDefault="0011754C" w:rsidP="0001200E">
      <w:pPr>
        <w:jc w:val="both"/>
        <w:rPr>
          <w:rFonts w:asciiTheme="minorHAnsi" w:hAnsiTheme="minorHAnsi"/>
          <w:b/>
          <w:lang w:val="hr-HR"/>
        </w:rPr>
      </w:pPr>
    </w:p>
    <w:p w:rsidR="0011754C" w:rsidRPr="00EF3A1B" w:rsidRDefault="0011754C" w:rsidP="0011754C">
      <w:pPr>
        <w:pStyle w:val="ListParagraph"/>
        <w:numPr>
          <w:ilvl w:val="0"/>
          <w:numId w:val="10"/>
        </w:numPr>
        <w:jc w:val="both"/>
        <w:rPr>
          <w:rFonts w:asciiTheme="minorHAnsi" w:hAnsiTheme="minorHAnsi"/>
          <w:b/>
          <w:lang w:val="hr-HR"/>
        </w:rPr>
      </w:pPr>
      <w:r w:rsidRPr="00EF3A1B">
        <w:rPr>
          <w:rFonts w:asciiTheme="minorHAnsi" w:hAnsiTheme="minorHAnsi"/>
          <w:b/>
          <w:lang w:val="hr-HR"/>
        </w:rPr>
        <w:t>Osnove vrednovanja</w:t>
      </w:r>
    </w:p>
    <w:p w:rsidR="00AC6A44" w:rsidRPr="00AC6A44" w:rsidRDefault="00AC6A44" w:rsidP="00AC6A44">
      <w:pPr>
        <w:ind w:left="360"/>
        <w:jc w:val="both"/>
        <w:rPr>
          <w:rFonts w:asciiTheme="minorHAnsi" w:hAnsiTheme="minorHAnsi"/>
          <w:b/>
          <w:highlight w:val="yellow"/>
          <w:lang w:val="hr-HR"/>
        </w:rPr>
      </w:pPr>
    </w:p>
    <w:p w:rsidR="00EF3A1B" w:rsidRDefault="00AC6A44" w:rsidP="0011754C">
      <w:pPr>
        <w:jc w:val="both"/>
        <w:rPr>
          <w:rFonts w:asciiTheme="minorHAnsi" w:hAnsiTheme="minorHAnsi"/>
          <w:lang w:val="hr-HR"/>
        </w:rPr>
      </w:pPr>
      <w:r w:rsidRPr="00AC6A44">
        <w:rPr>
          <w:rFonts w:asciiTheme="minorHAnsi" w:hAnsiTheme="minorHAnsi"/>
          <w:lang w:val="hr-HR"/>
        </w:rPr>
        <w:t>Finansijski izvještaji su sastavljeni po načelu istorijskog troška, osim za investicionu imovinu, finansijsku imovinu i obaveze</w:t>
      </w:r>
      <w:r w:rsidR="00EF3A1B">
        <w:rPr>
          <w:rFonts w:asciiTheme="minorHAnsi" w:hAnsiTheme="minorHAnsi"/>
          <w:lang w:val="hr-HR"/>
        </w:rPr>
        <w:t xml:space="preserve"> koje se vrednuju po fer vrijednosti. Istorijski trošak predstavlja nabavnu vrijednost pri samom sticanju.</w:t>
      </w:r>
    </w:p>
    <w:p w:rsidR="0011754C" w:rsidRPr="00AC6A44" w:rsidRDefault="00EF3A1B" w:rsidP="0011754C">
      <w:pPr>
        <w:jc w:val="both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>Fer vrijednost je cijena koja bi bila dobijena za prodaju imovine ili plaćena za prenos obaveze u redovnoj transakciji između učesnika na tržištu na datum odmjeravanja.</w:t>
      </w:r>
      <w:r w:rsidR="00AC6A44" w:rsidRPr="00AC6A44">
        <w:rPr>
          <w:rFonts w:asciiTheme="minorHAnsi" w:hAnsiTheme="minorHAnsi"/>
          <w:lang w:val="hr-HR"/>
        </w:rPr>
        <w:t xml:space="preserve"> </w:t>
      </w:r>
    </w:p>
    <w:p w:rsidR="0011754C" w:rsidRPr="0011754C" w:rsidRDefault="0011754C" w:rsidP="0011754C">
      <w:pPr>
        <w:jc w:val="both"/>
        <w:rPr>
          <w:rFonts w:asciiTheme="minorHAnsi" w:hAnsiTheme="minorHAnsi"/>
          <w:b/>
          <w:lang w:val="hr-HR"/>
        </w:rPr>
      </w:pPr>
      <w:r w:rsidRPr="0011754C">
        <w:rPr>
          <w:rFonts w:asciiTheme="minorHAnsi" w:hAnsiTheme="minorHAnsi"/>
          <w:b/>
          <w:lang w:val="hr-HR"/>
        </w:rPr>
        <w:t xml:space="preserve"> </w:t>
      </w:r>
    </w:p>
    <w:p w:rsidR="0011754C" w:rsidRDefault="0011754C" w:rsidP="0011754C">
      <w:pPr>
        <w:pStyle w:val="ListParagraph"/>
        <w:numPr>
          <w:ilvl w:val="0"/>
          <w:numId w:val="10"/>
        </w:numPr>
        <w:jc w:val="both"/>
        <w:rPr>
          <w:rFonts w:asciiTheme="minorHAnsi" w:hAnsiTheme="minorHAnsi"/>
          <w:b/>
          <w:lang w:val="hr-HR"/>
        </w:rPr>
      </w:pPr>
      <w:r>
        <w:rPr>
          <w:rFonts w:asciiTheme="minorHAnsi" w:hAnsiTheme="minorHAnsi"/>
          <w:b/>
          <w:lang w:val="hr-HR"/>
        </w:rPr>
        <w:t xml:space="preserve">Značajne korištene računovodstvene politike i procjene </w:t>
      </w:r>
    </w:p>
    <w:p w:rsidR="0011754C" w:rsidRDefault="0011754C" w:rsidP="0011754C">
      <w:pPr>
        <w:jc w:val="both"/>
        <w:rPr>
          <w:rFonts w:asciiTheme="minorHAnsi" w:hAnsiTheme="minorHAnsi"/>
          <w:b/>
          <w:lang w:val="hr-HR"/>
        </w:rPr>
      </w:pPr>
    </w:p>
    <w:p w:rsidR="0011754C" w:rsidRDefault="0011754C" w:rsidP="0011754C">
      <w:pPr>
        <w:jc w:val="both"/>
        <w:rPr>
          <w:rFonts w:asciiTheme="minorHAnsi" w:hAnsiTheme="minorHAnsi"/>
          <w:b/>
          <w:lang w:val="hr-HR"/>
        </w:rPr>
      </w:pPr>
      <w:r>
        <w:rPr>
          <w:rFonts w:asciiTheme="minorHAnsi" w:hAnsiTheme="minorHAnsi"/>
          <w:b/>
          <w:lang w:val="hr-HR"/>
        </w:rPr>
        <w:t xml:space="preserve">Prihodi od usluga </w:t>
      </w:r>
    </w:p>
    <w:p w:rsidR="008D1919" w:rsidRDefault="008D1919" w:rsidP="0011754C">
      <w:pPr>
        <w:jc w:val="both"/>
        <w:rPr>
          <w:rFonts w:asciiTheme="minorHAnsi" w:hAnsiTheme="minorHAnsi"/>
          <w:b/>
          <w:lang w:val="hr-HR"/>
        </w:rPr>
      </w:pPr>
    </w:p>
    <w:p w:rsidR="008D1919" w:rsidRDefault="008D1919" w:rsidP="008D1919">
      <w:pPr>
        <w:rPr>
          <w:rFonts w:asciiTheme="minorHAnsi" w:hAnsiTheme="minorHAnsi"/>
          <w:b/>
          <w:lang w:val="it-IT"/>
        </w:rPr>
      </w:pPr>
      <w:r>
        <w:rPr>
          <w:rFonts w:asciiTheme="minorHAnsi" w:hAnsiTheme="minorHAnsi"/>
          <w:b/>
          <w:lang w:val="it-IT"/>
        </w:rPr>
        <w:t>Naknade za upravljanje Fondovima</w:t>
      </w:r>
    </w:p>
    <w:p w:rsidR="008D1919" w:rsidRPr="005F5D4B" w:rsidRDefault="008D1919" w:rsidP="008D1919">
      <w:pPr>
        <w:rPr>
          <w:rFonts w:asciiTheme="minorHAnsi" w:hAnsiTheme="minorHAnsi"/>
          <w:b/>
          <w:lang w:val="it-IT"/>
        </w:rPr>
      </w:pPr>
    </w:p>
    <w:p w:rsidR="008D1919" w:rsidRDefault="008D1919" w:rsidP="008D191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Naknade za upravljanje Fondovima</w:t>
      </w:r>
      <w:r w:rsidR="000619AD">
        <w:rPr>
          <w:rFonts w:asciiTheme="minorHAnsi" w:hAnsiTheme="minorHAnsi"/>
          <w:lang w:val="it-IT"/>
        </w:rPr>
        <w:t xml:space="preserve"> se obračunava na osnovu Ugovora o upravljanju sa svakim fondom pojedinalno i prihodi se priznaju na bazi fakturisane realizacije.</w:t>
      </w:r>
    </w:p>
    <w:p w:rsidR="000619AD" w:rsidRDefault="000619AD" w:rsidP="008D191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Za otvorene invisticione fondove kojima Društvo upravlja, prema ugovoru o upravljanju stopa iznosi 3,5 % neto vrijednosti fonda.</w:t>
      </w:r>
    </w:p>
    <w:p w:rsidR="008D1919" w:rsidRPr="00814D3C" w:rsidRDefault="008D1919" w:rsidP="008D1919">
      <w:pPr>
        <w:jc w:val="both"/>
        <w:rPr>
          <w:rFonts w:asciiTheme="minorHAnsi" w:hAnsiTheme="minorHAnsi"/>
          <w:lang w:val="it-IT"/>
        </w:rPr>
      </w:pPr>
    </w:p>
    <w:p w:rsidR="008D1919" w:rsidRDefault="008D1919" w:rsidP="008D1919">
      <w:pPr>
        <w:rPr>
          <w:rFonts w:asciiTheme="minorHAnsi" w:hAnsiTheme="minorHAnsi"/>
          <w:b/>
          <w:lang w:val="it-IT"/>
        </w:rPr>
      </w:pPr>
      <w:r>
        <w:rPr>
          <w:rFonts w:asciiTheme="minorHAnsi" w:hAnsiTheme="minorHAnsi"/>
          <w:b/>
          <w:lang w:val="it-IT"/>
        </w:rPr>
        <w:t xml:space="preserve">Izlazna naknada </w:t>
      </w:r>
    </w:p>
    <w:p w:rsidR="008D1919" w:rsidRDefault="008D1919" w:rsidP="008D1919">
      <w:pPr>
        <w:rPr>
          <w:rFonts w:asciiTheme="minorHAnsi" w:hAnsiTheme="minorHAnsi"/>
          <w:b/>
          <w:lang w:val="it-IT"/>
        </w:rPr>
      </w:pPr>
    </w:p>
    <w:p w:rsidR="008D1919" w:rsidRPr="00260321" w:rsidRDefault="008D1919" w:rsidP="00260321">
      <w:pPr>
        <w:rPr>
          <w:rFonts w:asciiTheme="minorHAnsi" w:hAnsiTheme="minorHAnsi"/>
          <w:lang w:val="it-IT"/>
        </w:rPr>
      </w:pPr>
      <w:r w:rsidRPr="00B54A34">
        <w:rPr>
          <w:rFonts w:asciiTheme="minorHAnsi" w:hAnsiTheme="minorHAnsi"/>
          <w:lang w:val="it-IT"/>
        </w:rPr>
        <w:t>Otvaranjem fondova , odnosno otkupom udjela fondova na dnevnom nivou</w:t>
      </w:r>
      <w:r>
        <w:rPr>
          <w:rFonts w:asciiTheme="minorHAnsi" w:hAnsiTheme="minorHAnsi"/>
          <w:lang w:val="it-IT"/>
        </w:rPr>
        <w:t>, Društvo po Prospektima fondova kojima upravlja naplaćuje 3,5 % izlazne naknade  prilikom svakog otkupa.</w:t>
      </w:r>
    </w:p>
    <w:p w:rsidR="008D1919" w:rsidRDefault="008D1919" w:rsidP="0011754C">
      <w:pPr>
        <w:jc w:val="both"/>
        <w:rPr>
          <w:rFonts w:asciiTheme="minorHAnsi" w:hAnsiTheme="minorHAnsi"/>
          <w:b/>
          <w:lang w:val="hr-HR"/>
        </w:rPr>
      </w:pPr>
    </w:p>
    <w:p w:rsidR="0011754C" w:rsidRDefault="0011754C" w:rsidP="0011754C">
      <w:pPr>
        <w:jc w:val="both"/>
        <w:rPr>
          <w:rFonts w:asciiTheme="minorHAnsi" w:hAnsiTheme="minorHAnsi"/>
          <w:b/>
          <w:lang w:val="hr-HR"/>
        </w:rPr>
      </w:pPr>
      <w:r>
        <w:rPr>
          <w:rFonts w:asciiTheme="minorHAnsi" w:hAnsiTheme="minorHAnsi"/>
          <w:b/>
          <w:lang w:val="hr-HR"/>
        </w:rPr>
        <w:t xml:space="preserve">Prihodi od dividendi </w:t>
      </w:r>
    </w:p>
    <w:p w:rsidR="0011754C" w:rsidRDefault="0011754C" w:rsidP="0011754C">
      <w:pPr>
        <w:jc w:val="both"/>
        <w:rPr>
          <w:rFonts w:asciiTheme="minorHAnsi" w:hAnsiTheme="minorHAnsi"/>
          <w:b/>
          <w:lang w:val="hr-HR"/>
        </w:rPr>
      </w:pPr>
    </w:p>
    <w:p w:rsidR="00260321" w:rsidRPr="00260321" w:rsidRDefault="00260321" w:rsidP="0011754C">
      <w:pPr>
        <w:jc w:val="both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 xml:space="preserve">Prihodi od dividendi se priznaju u bilansu uspjeha </w:t>
      </w:r>
      <w:r w:rsidR="00E66473">
        <w:rPr>
          <w:rFonts w:asciiTheme="minorHAnsi" w:hAnsiTheme="minorHAnsi"/>
          <w:lang w:val="hr-HR"/>
        </w:rPr>
        <w:t>kada je utvrđeno pravo Društva na dividen</w:t>
      </w:r>
      <w:r w:rsidR="00142E68">
        <w:rPr>
          <w:rFonts w:asciiTheme="minorHAnsi" w:hAnsiTheme="minorHAnsi"/>
          <w:lang w:val="hr-HR"/>
        </w:rPr>
        <w:t>d</w:t>
      </w:r>
      <w:r w:rsidR="00E66473">
        <w:rPr>
          <w:rFonts w:asciiTheme="minorHAnsi" w:hAnsiTheme="minorHAnsi"/>
          <w:lang w:val="hr-HR"/>
        </w:rPr>
        <w:t>u.</w:t>
      </w:r>
    </w:p>
    <w:p w:rsidR="00260321" w:rsidRDefault="00260321" w:rsidP="0011754C">
      <w:pPr>
        <w:jc w:val="both"/>
        <w:rPr>
          <w:rFonts w:asciiTheme="minorHAnsi" w:hAnsiTheme="minorHAnsi"/>
          <w:b/>
          <w:lang w:val="hr-HR"/>
        </w:rPr>
      </w:pPr>
    </w:p>
    <w:p w:rsidR="0011754C" w:rsidRDefault="0011754C" w:rsidP="0011754C">
      <w:pPr>
        <w:jc w:val="both"/>
        <w:rPr>
          <w:rFonts w:asciiTheme="minorHAnsi" w:hAnsiTheme="minorHAnsi"/>
          <w:b/>
          <w:lang w:val="hr-HR"/>
        </w:rPr>
      </w:pPr>
      <w:r>
        <w:rPr>
          <w:rFonts w:asciiTheme="minorHAnsi" w:hAnsiTheme="minorHAnsi"/>
          <w:b/>
          <w:lang w:val="hr-HR"/>
        </w:rPr>
        <w:t xml:space="preserve">Zarada po akciji </w:t>
      </w:r>
    </w:p>
    <w:p w:rsidR="00E66473" w:rsidRDefault="00E66473" w:rsidP="0011754C">
      <w:pPr>
        <w:jc w:val="both"/>
        <w:rPr>
          <w:rFonts w:asciiTheme="minorHAnsi" w:hAnsiTheme="minorHAnsi"/>
          <w:b/>
          <w:lang w:val="hr-HR"/>
        </w:rPr>
      </w:pPr>
    </w:p>
    <w:p w:rsidR="00E66473" w:rsidRPr="00E66473" w:rsidRDefault="00E66473" w:rsidP="0011754C">
      <w:pPr>
        <w:jc w:val="both"/>
        <w:rPr>
          <w:rFonts w:asciiTheme="minorHAnsi" w:hAnsiTheme="minorHAnsi"/>
          <w:lang w:val="hr-HR"/>
        </w:rPr>
      </w:pPr>
      <w:r w:rsidRPr="00E66473">
        <w:rPr>
          <w:rFonts w:asciiTheme="minorHAnsi" w:hAnsiTheme="minorHAnsi"/>
          <w:lang w:val="hr-HR"/>
        </w:rPr>
        <w:t xml:space="preserve">Zarada po akciji </w:t>
      </w:r>
      <w:r>
        <w:rPr>
          <w:rFonts w:asciiTheme="minorHAnsi" w:hAnsiTheme="minorHAnsi"/>
          <w:lang w:val="hr-HR"/>
        </w:rPr>
        <w:t>se računa dijeljenjem neto dobitka tekućeg perioda sa prosječnim ponderisanim brojem redovnih akcija Društva.</w:t>
      </w:r>
    </w:p>
    <w:p w:rsidR="0011754C" w:rsidRPr="0011754C" w:rsidRDefault="0011754C" w:rsidP="0011754C">
      <w:pPr>
        <w:jc w:val="both"/>
        <w:rPr>
          <w:rFonts w:asciiTheme="minorHAnsi" w:hAnsiTheme="minorHAnsi"/>
          <w:b/>
          <w:lang w:val="hr-HR"/>
        </w:rPr>
      </w:pPr>
    </w:p>
    <w:p w:rsidR="0001200E" w:rsidRPr="00814D3C" w:rsidRDefault="0001200E" w:rsidP="0001200E">
      <w:pPr>
        <w:jc w:val="both"/>
        <w:rPr>
          <w:rFonts w:asciiTheme="minorHAnsi" w:hAnsiTheme="minorHAnsi"/>
          <w:b/>
          <w:lang w:val="hr-HR"/>
        </w:rPr>
      </w:pPr>
      <w:r w:rsidRPr="00814D3C">
        <w:rPr>
          <w:rFonts w:asciiTheme="minorHAnsi" w:hAnsiTheme="minorHAnsi"/>
          <w:b/>
          <w:lang w:val="hr-HR"/>
        </w:rPr>
        <w:t xml:space="preserve">Nematerijalna </w:t>
      </w:r>
      <w:r w:rsidR="001950CF">
        <w:rPr>
          <w:rFonts w:asciiTheme="minorHAnsi" w:hAnsiTheme="minorHAnsi"/>
          <w:b/>
          <w:lang w:val="hr-HR"/>
        </w:rPr>
        <w:t>sredstva</w:t>
      </w:r>
    </w:p>
    <w:p w:rsidR="0001200E" w:rsidRDefault="0001200E" w:rsidP="0001200E">
      <w:pPr>
        <w:jc w:val="both"/>
        <w:rPr>
          <w:rFonts w:asciiTheme="minorHAnsi" w:hAnsiTheme="minorHAnsi"/>
          <w:b/>
          <w:lang w:val="hr-HR"/>
        </w:rPr>
      </w:pPr>
    </w:p>
    <w:p w:rsidR="001950CF" w:rsidRDefault="001950CF" w:rsidP="0001200E">
      <w:pPr>
        <w:jc w:val="both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>Nematerijalna ulaganja se inicijalno priznaju po nabavnoj vrijednosti . Naknadno mjerenje nakon početnog priznavanja nematerijlanih ulaganja vrši se po troškovnom modelu iz MRS 38 – nematerijalna ulaganja , odnosno po nabavnoj vrijednosti ili cijeni koštanja, um</w:t>
      </w:r>
      <w:r w:rsidR="00FE4814">
        <w:rPr>
          <w:rFonts w:asciiTheme="minorHAnsi" w:hAnsiTheme="minorHAnsi"/>
          <w:lang w:val="hr-HR"/>
        </w:rPr>
        <w:t>a</w:t>
      </w:r>
      <w:r>
        <w:rPr>
          <w:rFonts w:asciiTheme="minorHAnsi" w:hAnsiTheme="minorHAnsi"/>
          <w:lang w:val="hr-HR"/>
        </w:rPr>
        <w:t>njenoj za ispravke vrijednosti po osnovu kumulirane amortizacije i obezvrejđenja. Amortizacija se obračunava na nabavnu vrijednost, linearnom metodom amortizacije.</w:t>
      </w:r>
    </w:p>
    <w:p w:rsidR="001950CF" w:rsidRPr="001950CF" w:rsidRDefault="001950CF" w:rsidP="0001200E">
      <w:pPr>
        <w:jc w:val="both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 xml:space="preserve">Nematerijalna srestva čine licenca  koji se amortizuju </w:t>
      </w:r>
      <w:r w:rsidR="00FE4814">
        <w:rPr>
          <w:rFonts w:asciiTheme="minorHAnsi" w:hAnsiTheme="minorHAnsi"/>
          <w:lang w:val="hr-HR"/>
        </w:rPr>
        <w:t>u perodu od 10</w:t>
      </w:r>
      <w:r>
        <w:rPr>
          <w:rFonts w:asciiTheme="minorHAnsi" w:hAnsiTheme="minorHAnsi"/>
          <w:lang w:val="hr-HR"/>
        </w:rPr>
        <w:t xml:space="preserve"> godin</w:t>
      </w:r>
      <w:r w:rsidR="00FE4814">
        <w:rPr>
          <w:rFonts w:asciiTheme="minorHAnsi" w:hAnsiTheme="minorHAnsi"/>
          <w:lang w:val="hr-HR"/>
        </w:rPr>
        <w:t>a , odnosno primjenom stope od 1</w:t>
      </w:r>
      <w:r>
        <w:rPr>
          <w:rFonts w:asciiTheme="minorHAnsi" w:hAnsiTheme="minorHAnsi"/>
          <w:lang w:val="hr-HR"/>
        </w:rPr>
        <w:t>0 %.</w:t>
      </w:r>
    </w:p>
    <w:p w:rsidR="001950CF" w:rsidRDefault="001950CF" w:rsidP="0001200E">
      <w:pPr>
        <w:jc w:val="both"/>
        <w:rPr>
          <w:rFonts w:asciiTheme="minorHAnsi" w:hAnsiTheme="minorHAnsi"/>
          <w:b/>
          <w:lang w:val="hr-HR"/>
        </w:rPr>
      </w:pPr>
    </w:p>
    <w:p w:rsidR="00085957" w:rsidRPr="00814D3C" w:rsidRDefault="00085957" w:rsidP="0001200E">
      <w:pPr>
        <w:jc w:val="both"/>
        <w:rPr>
          <w:rFonts w:asciiTheme="minorHAnsi" w:hAnsiTheme="minorHAnsi"/>
          <w:b/>
          <w:lang w:val="hr-HR"/>
        </w:rPr>
      </w:pPr>
    </w:p>
    <w:p w:rsidR="0001200E" w:rsidRPr="00814D3C" w:rsidRDefault="0001200E" w:rsidP="0001200E">
      <w:pPr>
        <w:jc w:val="both"/>
        <w:rPr>
          <w:rFonts w:asciiTheme="minorHAnsi" w:hAnsiTheme="minorHAnsi"/>
          <w:b/>
          <w:lang w:val="hr-HR"/>
        </w:rPr>
      </w:pPr>
      <w:r w:rsidRPr="00814D3C">
        <w:rPr>
          <w:rFonts w:asciiTheme="minorHAnsi" w:hAnsiTheme="minorHAnsi"/>
          <w:b/>
          <w:lang w:val="hr-HR"/>
        </w:rPr>
        <w:lastRenderedPageBreak/>
        <w:t>Nekretnine,  postrojenje, oprema</w:t>
      </w:r>
    </w:p>
    <w:p w:rsidR="0001200E" w:rsidRPr="00814D3C" w:rsidRDefault="0001200E" w:rsidP="0001200E">
      <w:pPr>
        <w:jc w:val="both"/>
        <w:rPr>
          <w:rFonts w:asciiTheme="minorHAnsi" w:hAnsiTheme="minorHAnsi"/>
          <w:b/>
          <w:lang w:val="hr-HR"/>
        </w:rPr>
      </w:pPr>
    </w:p>
    <w:p w:rsidR="0001200E" w:rsidRDefault="002C23E7" w:rsidP="0001200E">
      <w:pPr>
        <w:jc w:val="both"/>
        <w:rPr>
          <w:rFonts w:asciiTheme="minorHAnsi" w:hAnsiTheme="minorHAnsi"/>
          <w:lang w:val="it-IT"/>
        </w:rPr>
      </w:pPr>
      <w:r w:rsidRPr="002C23E7">
        <w:rPr>
          <w:rFonts w:asciiTheme="minorHAnsi" w:hAnsiTheme="minorHAnsi"/>
          <w:lang w:val="it-IT"/>
        </w:rPr>
        <w:t xml:space="preserve">Nekretnine, postrojenja i oprema se </w:t>
      </w:r>
      <w:r>
        <w:rPr>
          <w:rFonts w:asciiTheme="minorHAnsi" w:hAnsiTheme="minorHAnsi"/>
          <w:lang w:val="it-IT"/>
        </w:rPr>
        <w:t xml:space="preserve">inicijalno priznaju po nabavnoj vrijednosti , odnosno po cijeni koštanja. Nabavnu vrijednost čini fakturna vrijednost uvećana za sve troškove koji se mogu direktno pripisati dovođenju ovih sredstava u funkciju. </w:t>
      </w:r>
    </w:p>
    <w:p w:rsidR="002C23E7" w:rsidRDefault="002C23E7" w:rsidP="0001200E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Nakon početnog priznavanja, nekretnine postrojenja i oprema vrednuju se po nabavnoj vrijednosti umanjenoj za kumuliranu ispravku vrijednosti po osnovu amortizacije i za eventualne akumulirane gubitke po osnovu umanjenja vrijednosti.</w:t>
      </w:r>
    </w:p>
    <w:p w:rsidR="004A0391" w:rsidRDefault="004A0391" w:rsidP="0001200E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Naknadna ulaganja u stavku nekretnina, postrojenja i opreme</w:t>
      </w:r>
      <w:r w:rsidR="00D108D2">
        <w:rPr>
          <w:rFonts w:asciiTheme="minorHAnsi" w:hAnsiTheme="minorHAnsi"/>
          <w:lang w:val="it-IT"/>
        </w:rPr>
        <w:t>, se mogu kapitalizovati , odnosno uključiti u knj</w:t>
      </w:r>
      <w:r w:rsidR="002A37D4">
        <w:rPr>
          <w:rFonts w:asciiTheme="minorHAnsi" w:hAnsiTheme="minorHAnsi"/>
          <w:lang w:val="it-IT"/>
        </w:rPr>
        <w:t>igovodtvenu vrijednost sredstva, ako:</w:t>
      </w:r>
    </w:p>
    <w:p w:rsidR="002A37D4" w:rsidRDefault="002A37D4" w:rsidP="002A37D4">
      <w:pPr>
        <w:pStyle w:val="ListParagraph"/>
        <w:numPr>
          <w:ilvl w:val="0"/>
          <w:numId w:val="9"/>
        </w:num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je vjer</w:t>
      </w:r>
      <w:r w:rsidRPr="002A37D4">
        <w:rPr>
          <w:rFonts w:asciiTheme="minorHAnsi" w:hAnsiTheme="minorHAnsi"/>
          <w:lang w:val="it-IT"/>
        </w:rPr>
        <w:t xml:space="preserve">ovatno da će buduće ekonomske koristi povezane sa naknadnim ulaganjima priticati u pravno lice </w:t>
      </w:r>
    </w:p>
    <w:p w:rsidR="002A37D4" w:rsidRDefault="00A33510" w:rsidP="002A37D4">
      <w:pPr>
        <w:pStyle w:val="ListParagraph"/>
        <w:numPr>
          <w:ilvl w:val="0"/>
          <w:numId w:val="9"/>
        </w:num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se nabavna vrijednost/cijena koštanja naknadnih ulaganja može pouzdano odmjeriti</w:t>
      </w:r>
    </w:p>
    <w:p w:rsidR="00A33510" w:rsidRPr="00A33510" w:rsidRDefault="00A33510" w:rsidP="00A33510">
      <w:pPr>
        <w:jc w:val="both"/>
        <w:rPr>
          <w:rFonts w:asciiTheme="minorHAnsi" w:hAnsiTheme="minorHAnsi"/>
          <w:lang w:val="it-IT"/>
        </w:rPr>
      </w:pPr>
    </w:p>
    <w:p w:rsidR="00A33510" w:rsidRDefault="00A33510" w:rsidP="00A33510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Troškovi redovnog održavanja nekretnina, postrojenja i opreme predstavljaju rashod perioda.</w:t>
      </w:r>
    </w:p>
    <w:p w:rsidR="00A33510" w:rsidRDefault="00A33510" w:rsidP="00A33510">
      <w:pPr>
        <w:jc w:val="both"/>
        <w:rPr>
          <w:rFonts w:asciiTheme="minorHAnsi" w:hAnsiTheme="minorHAnsi"/>
          <w:lang w:val="it-IT"/>
        </w:rPr>
      </w:pPr>
    </w:p>
    <w:p w:rsidR="00A33510" w:rsidRDefault="00A33510" w:rsidP="00A33510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Društvo na nekretine primjenjuje linearnu metodu amortizacije i stopu 3 %.</w:t>
      </w:r>
    </w:p>
    <w:p w:rsidR="00E86A18" w:rsidRDefault="00E86A18" w:rsidP="00A33510">
      <w:pPr>
        <w:jc w:val="both"/>
        <w:rPr>
          <w:rFonts w:asciiTheme="minorHAnsi" w:hAnsiTheme="minorHAnsi"/>
          <w:lang w:val="it-IT"/>
        </w:rPr>
      </w:pPr>
    </w:p>
    <w:p w:rsidR="00A33510" w:rsidRPr="00A33510" w:rsidRDefault="0020402E" w:rsidP="00A33510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Postrojenja i oprema p</w:t>
      </w:r>
      <w:r w:rsidR="00142E68">
        <w:rPr>
          <w:rFonts w:asciiTheme="minorHAnsi" w:hAnsiTheme="minorHAnsi"/>
          <w:lang w:val="it-IT"/>
        </w:rPr>
        <w:t>o stopi od 20-40 % primjenjujući</w:t>
      </w:r>
      <w:r>
        <w:rPr>
          <w:rFonts w:asciiTheme="minorHAnsi" w:hAnsiTheme="minorHAnsi"/>
          <w:lang w:val="it-IT"/>
        </w:rPr>
        <w:t xml:space="preserve"> degresivni metod.</w:t>
      </w:r>
    </w:p>
    <w:p w:rsidR="002C23E7" w:rsidRPr="002C23E7" w:rsidRDefault="002C23E7" w:rsidP="0001200E">
      <w:pPr>
        <w:jc w:val="both"/>
        <w:rPr>
          <w:rFonts w:asciiTheme="minorHAnsi" w:hAnsiTheme="minorHAnsi"/>
          <w:lang w:val="it-IT"/>
        </w:rPr>
      </w:pPr>
    </w:p>
    <w:p w:rsidR="0001200E" w:rsidRPr="00142E68" w:rsidRDefault="0001200E" w:rsidP="0001200E">
      <w:pPr>
        <w:jc w:val="both"/>
        <w:rPr>
          <w:rFonts w:asciiTheme="minorHAnsi" w:hAnsiTheme="minorHAnsi"/>
          <w:lang w:val="it-IT"/>
        </w:rPr>
      </w:pPr>
      <w:r w:rsidRPr="00142E68">
        <w:rPr>
          <w:rFonts w:asciiTheme="minorHAnsi" w:hAnsiTheme="minorHAnsi"/>
          <w:lang w:val="it-IT"/>
        </w:rPr>
        <w:t>Nabavnu vrijednost nekretnina i opreme čini vrijednost po fakturi dobavljača, uvećana za zavisne troškove i troškove dovođenja sredstava u stanje funkcionalne pripravnosti, umanjena za bilo koje trgovinske popuste i rabate.</w:t>
      </w:r>
    </w:p>
    <w:p w:rsidR="0001200E" w:rsidRPr="00814D3C" w:rsidRDefault="0001200E" w:rsidP="0001200E">
      <w:pPr>
        <w:jc w:val="both"/>
        <w:rPr>
          <w:rFonts w:asciiTheme="minorHAnsi" w:hAnsiTheme="minorHAnsi"/>
          <w:lang w:val="it-IT"/>
        </w:rPr>
      </w:pPr>
      <w:r w:rsidRPr="00142E68">
        <w:rPr>
          <w:rFonts w:asciiTheme="minorHAnsi" w:hAnsiTheme="minorHAnsi"/>
          <w:lang w:val="it-IT"/>
        </w:rPr>
        <w:t>Dobit koja nastane prilikom rashodovanja nekretnina i opreme knjiži se u korist ostalih prihoda. Gubitak nastao prilikom otuđivanja nekretnina i opreme knjiži se na teret ostalih rashoda.</w:t>
      </w:r>
    </w:p>
    <w:p w:rsidR="006426E4" w:rsidRDefault="006426E4" w:rsidP="0001200E">
      <w:pPr>
        <w:rPr>
          <w:rFonts w:asciiTheme="minorHAnsi" w:hAnsiTheme="minorHAnsi"/>
          <w:lang w:val="it-IT"/>
        </w:rPr>
      </w:pPr>
    </w:p>
    <w:p w:rsidR="0011754C" w:rsidRDefault="0011754C" w:rsidP="0001200E">
      <w:pPr>
        <w:rPr>
          <w:rFonts w:asciiTheme="minorHAnsi" w:hAnsiTheme="minorHAnsi"/>
          <w:b/>
          <w:lang w:val="it-IT"/>
        </w:rPr>
      </w:pPr>
      <w:r w:rsidRPr="0011754C">
        <w:rPr>
          <w:rFonts w:asciiTheme="minorHAnsi" w:hAnsiTheme="minorHAnsi"/>
          <w:b/>
          <w:lang w:val="it-IT"/>
        </w:rPr>
        <w:t xml:space="preserve">Sredstva i obaveze po osnovu zakupa </w:t>
      </w:r>
    </w:p>
    <w:p w:rsidR="00757D7D" w:rsidRPr="0011754C" w:rsidRDefault="00757D7D" w:rsidP="0001200E">
      <w:pPr>
        <w:rPr>
          <w:rFonts w:asciiTheme="minorHAnsi" w:hAnsiTheme="minorHAnsi"/>
          <w:b/>
          <w:lang w:val="it-IT"/>
        </w:rPr>
      </w:pPr>
    </w:p>
    <w:p w:rsidR="0011754C" w:rsidRDefault="00757D7D" w:rsidP="0001200E">
      <w:pPr>
        <w:rPr>
          <w:rFonts w:asciiTheme="minorHAnsi" w:hAnsiTheme="minorHAnsi"/>
          <w:lang w:val="it-IT"/>
        </w:rPr>
      </w:pPr>
      <w:r w:rsidRPr="00142E68">
        <w:rPr>
          <w:rFonts w:asciiTheme="minorHAnsi" w:hAnsiTheme="minorHAnsi"/>
          <w:lang w:val="it-IT"/>
        </w:rPr>
        <w:t>Kratkoročni zakup koji na datum početka zakupa ima ugovoreni period zakupa najviše 12 mjeseci i koji ne sadrži mogućnost kupovine predmetne imovine, sva plaćanja povezana sa ovim zakupom se priznaju kao trošak tokom trajanja zakupa</w:t>
      </w:r>
      <w:r w:rsidR="00142E68" w:rsidRPr="00142E68">
        <w:rPr>
          <w:rFonts w:asciiTheme="minorHAnsi" w:hAnsiTheme="minorHAnsi"/>
          <w:lang w:val="it-IT"/>
        </w:rPr>
        <w:t>.</w:t>
      </w:r>
      <w:r>
        <w:rPr>
          <w:rFonts w:asciiTheme="minorHAnsi" w:hAnsiTheme="minorHAnsi"/>
          <w:lang w:val="it-IT"/>
        </w:rPr>
        <w:t xml:space="preserve"> </w:t>
      </w:r>
    </w:p>
    <w:p w:rsidR="00757D7D" w:rsidRDefault="00757D7D" w:rsidP="0001200E">
      <w:pPr>
        <w:rPr>
          <w:rFonts w:asciiTheme="minorHAnsi" w:hAnsiTheme="minorHAnsi"/>
          <w:lang w:val="it-IT"/>
        </w:rPr>
      </w:pPr>
    </w:p>
    <w:p w:rsidR="00727CC5" w:rsidRDefault="00727CC5" w:rsidP="0001200E">
      <w:pPr>
        <w:rPr>
          <w:rFonts w:asciiTheme="minorHAnsi" w:hAnsiTheme="minorHAnsi"/>
          <w:b/>
          <w:lang w:val="it-IT"/>
        </w:rPr>
      </w:pPr>
      <w:r w:rsidRPr="00727CC5">
        <w:rPr>
          <w:rFonts w:asciiTheme="minorHAnsi" w:hAnsiTheme="minorHAnsi"/>
          <w:b/>
          <w:lang w:val="it-IT"/>
        </w:rPr>
        <w:t xml:space="preserve">Klasifikacija finansijskih instrumenata </w:t>
      </w:r>
    </w:p>
    <w:p w:rsidR="00727CC5" w:rsidRDefault="00727CC5" w:rsidP="0001200E">
      <w:pPr>
        <w:rPr>
          <w:rFonts w:asciiTheme="minorHAnsi" w:hAnsiTheme="minorHAnsi"/>
          <w:b/>
          <w:lang w:val="it-IT"/>
        </w:rPr>
      </w:pPr>
    </w:p>
    <w:p w:rsidR="00727CC5" w:rsidRPr="00142E68" w:rsidRDefault="00727CC5" w:rsidP="0001200E">
      <w:pPr>
        <w:rPr>
          <w:rFonts w:asciiTheme="minorHAnsi" w:hAnsiTheme="minorHAnsi"/>
          <w:lang w:val="it-IT"/>
        </w:rPr>
      </w:pPr>
      <w:r w:rsidRPr="00142E68">
        <w:rPr>
          <w:rFonts w:asciiTheme="minorHAnsi" w:hAnsiTheme="minorHAnsi"/>
          <w:lang w:val="it-IT"/>
        </w:rPr>
        <w:t>Finansijska sredstva uključuju dugoročne finansijske plasmane , potraživanja, gotovinu i gotovinske ekvivalente.</w:t>
      </w:r>
      <w:r w:rsidR="00FD360F" w:rsidRPr="00142E68">
        <w:rPr>
          <w:rFonts w:asciiTheme="minorHAnsi" w:hAnsiTheme="minorHAnsi"/>
          <w:lang w:val="it-IT"/>
        </w:rPr>
        <w:t xml:space="preserve"> </w:t>
      </w:r>
      <w:r w:rsidRPr="00142E68">
        <w:rPr>
          <w:rFonts w:asciiTheme="minorHAnsi" w:hAnsiTheme="minorHAnsi"/>
          <w:lang w:val="it-IT"/>
        </w:rPr>
        <w:t>Klasifikacja zavisi od svrhe za koju su sredstva stečena. Rukovodstvo Društva utvrđuje klasifikaciju finansijskih sredstava prilikom inicijalnog priznavanja.</w:t>
      </w:r>
    </w:p>
    <w:p w:rsidR="00727CC5" w:rsidRPr="00142E68" w:rsidRDefault="00727CC5" w:rsidP="0001200E">
      <w:pPr>
        <w:rPr>
          <w:rFonts w:asciiTheme="minorHAnsi" w:hAnsiTheme="minorHAnsi"/>
          <w:lang w:val="it-IT"/>
        </w:rPr>
      </w:pPr>
    </w:p>
    <w:p w:rsidR="00727CC5" w:rsidRPr="00727CC5" w:rsidRDefault="00727CC5" w:rsidP="0001200E">
      <w:pPr>
        <w:rPr>
          <w:rFonts w:asciiTheme="minorHAnsi" w:hAnsiTheme="minorHAnsi"/>
          <w:lang w:val="it-IT"/>
        </w:rPr>
      </w:pPr>
      <w:r w:rsidRPr="00142E68">
        <w:rPr>
          <w:rFonts w:asciiTheme="minorHAnsi" w:hAnsiTheme="minorHAnsi"/>
          <w:lang w:val="it-IT"/>
        </w:rPr>
        <w:t xml:space="preserve">Finansijske obaveze </w:t>
      </w:r>
      <w:r w:rsidR="006B1978" w:rsidRPr="00142E68">
        <w:rPr>
          <w:rFonts w:asciiTheme="minorHAnsi" w:hAnsiTheme="minorHAnsi"/>
          <w:lang w:val="it-IT"/>
        </w:rPr>
        <w:t>uključuju dugoročne finansijske obaveze , kratkoročne finansijske obaveze , obaveze iz poslovanja i ostale kratkoročne obaveze. Društvo klasifikuje finansijske obaveze u dvije kategorije : obaveze po fer vrijednosti kroz bilans uspjeha i ostale finansijske obaveze.</w:t>
      </w:r>
    </w:p>
    <w:p w:rsidR="0001200E" w:rsidRPr="00814D3C" w:rsidRDefault="0001200E" w:rsidP="0001200E">
      <w:pPr>
        <w:jc w:val="both"/>
        <w:rPr>
          <w:rFonts w:asciiTheme="minorHAnsi" w:hAnsiTheme="minorHAnsi"/>
          <w:lang w:val="sr-Latn-BA"/>
        </w:rPr>
      </w:pPr>
    </w:p>
    <w:p w:rsidR="0001200E" w:rsidRPr="00814D3C" w:rsidRDefault="0028366F" w:rsidP="0001200E">
      <w:pPr>
        <w:jc w:val="both"/>
        <w:rPr>
          <w:rFonts w:asciiTheme="minorHAnsi" w:hAnsiTheme="minorHAnsi"/>
          <w:b/>
          <w:lang w:val="sr-Latn-BA"/>
        </w:rPr>
      </w:pPr>
      <w:r>
        <w:rPr>
          <w:rFonts w:asciiTheme="minorHAnsi" w:hAnsiTheme="minorHAnsi"/>
          <w:b/>
          <w:lang w:val="sr-Latn-BA"/>
        </w:rPr>
        <w:t>Finansijska sredstva po fer vrijednosti kroz ostali ukupan rezultat</w:t>
      </w:r>
    </w:p>
    <w:p w:rsidR="0001200E" w:rsidRPr="00814D3C" w:rsidRDefault="0001200E" w:rsidP="0001200E">
      <w:pPr>
        <w:jc w:val="both"/>
        <w:rPr>
          <w:rFonts w:asciiTheme="minorHAnsi" w:hAnsiTheme="minorHAnsi"/>
          <w:b/>
          <w:lang w:val="sr-Latn-BA"/>
        </w:rPr>
      </w:pPr>
    </w:p>
    <w:p w:rsidR="0001200E" w:rsidRPr="003F05DB" w:rsidRDefault="0001200E" w:rsidP="0001200E">
      <w:pPr>
        <w:jc w:val="both"/>
        <w:rPr>
          <w:rFonts w:asciiTheme="minorHAnsi" w:hAnsiTheme="minorHAnsi"/>
          <w:lang w:val="sr-Latn-BA"/>
        </w:rPr>
      </w:pPr>
      <w:r w:rsidRPr="003F05DB">
        <w:rPr>
          <w:rFonts w:asciiTheme="minorHAnsi" w:hAnsiTheme="minorHAnsi"/>
          <w:lang w:val="sr-Latn-BA"/>
        </w:rPr>
        <w:t xml:space="preserve">Hartije od vrijednosti </w:t>
      </w:r>
      <w:r w:rsidR="0028366F" w:rsidRPr="003F05DB">
        <w:rPr>
          <w:rFonts w:asciiTheme="minorHAnsi" w:hAnsiTheme="minorHAnsi"/>
          <w:lang w:val="sr-Latn-BA"/>
        </w:rPr>
        <w:t xml:space="preserve">po fer vrijednosti kroz ostali ukupan rezultat </w:t>
      </w:r>
      <w:r w:rsidRPr="003F05DB">
        <w:rPr>
          <w:rFonts w:asciiTheme="minorHAnsi" w:hAnsiTheme="minorHAnsi"/>
          <w:lang w:val="sr-Latn-BA"/>
        </w:rPr>
        <w:t>za koje postoji namjera da se drže tokom neodređenog vremenskog perioda, koje mog</w:t>
      </w:r>
      <w:r w:rsidR="0028366F" w:rsidRPr="003F05DB">
        <w:rPr>
          <w:rFonts w:asciiTheme="minorHAnsi" w:hAnsiTheme="minorHAnsi"/>
          <w:lang w:val="sr-Latn-BA"/>
        </w:rPr>
        <w:t>u da se prodaju prema potrebama, i</w:t>
      </w:r>
      <w:r w:rsidRPr="003F05DB">
        <w:rPr>
          <w:rFonts w:asciiTheme="minorHAnsi" w:hAnsiTheme="minorHAnsi"/>
          <w:lang w:val="sr-Latn-BA"/>
        </w:rPr>
        <w:t xml:space="preserve">ncijalno se priznaju po fer </w:t>
      </w:r>
      <w:r w:rsidRPr="003F05DB">
        <w:rPr>
          <w:rFonts w:asciiTheme="minorHAnsi" w:hAnsiTheme="minorHAnsi"/>
          <w:lang w:val="sr-Latn-BA"/>
        </w:rPr>
        <w:lastRenderedPageBreak/>
        <w:t>vrijednosti uvećane za transakcione troškove. Nakon incijalnog priznavanja iskazuju se po fer vrijednosti, osim ako nemaju kotiranu tržišnu cijenu na aktivnom tržištu i fer vrijednost se ne može pouzdano utvrditi.</w:t>
      </w:r>
    </w:p>
    <w:p w:rsidR="0001200E" w:rsidRPr="003F05DB" w:rsidRDefault="0001200E" w:rsidP="0001200E">
      <w:pPr>
        <w:jc w:val="both"/>
        <w:rPr>
          <w:rFonts w:asciiTheme="minorHAnsi" w:hAnsiTheme="minorHAnsi"/>
          <w:lang w:val="sr-Latn-BA"/>
        </w:rPr>
      </w:pPr>
      <w:r w:rsidRPr="003F05DB">
        <w:rPr>
          <w:rFonts w:asciiTheme="minorHAnsi" w:hAnsiTheme="minorHAnsi"/>
          <w:lang w:val="sr-Latn-BA"/>
        </w:rPr>
        <w:t xml:space="preserve">Efekat po osnovu promjene fer vrijednosti hartija od vrijednosti </w:t>
      </w:r>
      <w:r w:rsidR="0028366F" w:rsidRPr="003F05DB">
        <w:rPr>
          <w:rFonts w:asciiTheme="minorHAnsi" w:hAnsiTheme="minorHAnsi"/>
          <w:lang w:val="sr-Latn-BA"/>
        </w:rPr>
        <w:t xml:space="preserve">kroz ostali ukupan rezultat </w:t>
      </w:r>
      <w:r w:rsidRPr="003F05DB">
        <w:rPr>
          <w:rFonts w:asciiTheme="minorHAnsi" w:hAnsiTheme="minorHAnsi"/>
          <w:lang w:val="sr-Latn-BA"/>
        </w:rPr>
        <w:t xml:space="preserve"> priznaj</w:t>
      </w:r>
      <w:r w:rsidR="0028366F" w:rsidRPr="003F05DB">
        <w:rPr>
          <w:rFonts w:asciiTheme="minorHAnsi" w:hAnsiTheme="minorHAnsi"/>
          <w:lang w:val="sr-Latn-BA"/>
        </w:rPr>
        <w:t xml:space="preserve">u se </w:t>
      </w:r>
      <w:r w:rsidRPr="003F05DB">
        <w:rPr>
          <w:rFonts w:asciiTheme="minorHAnsi" w:hAnsiTheme="minorHAnsi"/>
          <w:lang w:val="sr-Latn-BA"/>
        </w:rPr>
        <w:t xml:space="preserve"> direktno u  kapitalu , kao nerealizovni dobici/gub</w:t>
      </w:r>
      <w:r w:rsidR="003F05DB" w:rsidRPr="003F05DB">
        <w:rPr>
          <w:rFonts w:asciiTheme="minorHAnsi" w:hAnsiTheme="minorHAnsi"/>
          <w:lang w:val="sr-Latn-BA"/>
        </w:rPr>
        <w:t xml:space="preserve">ici hov </w:t>
      </w:r>
      <w:r w:rsidR="003F05DB">
        <w:rPr>
          <w:rFonts w:asciiTheme="minorHAnsi" w:hAnsiTheme="minorHAnsi"/>
          <w:lang w:val="sr-Latn-BA"/>
        </w:rPr>
        <w:t>pof fer vrijednosti kroz ostali ukupan rezultat</w:t>
      </w:r>
      <w:r w:rsidR="003F05DB" w:rsidRPr="003F05DB">
        <w:rPr>
          <w:rFonts w:asciiTheme="minorHAnsi" w:hAnsiTheme="minorHAnsi"/>
          <w:lang w:val="sr-Latn-BA"/>
        </w:rPr>
        <w:t>.</w:t>
      </w:r>
    </w:p>
    <w:p w:rsidR="003F05DB" w:rsidRPr="003F05DB" w:rsidRDefault="003F05DB" w:rsidP="003F05DB">
      <w:pPr>
        <w:jc w:val="both"/>
        <w:rPr>
          <w:rFonts w:asciiTheme="minorHAnsi" w:hAnsiTheme="minorHAnsi"/>
          <w:lang w:val="sr-Latn-BA"/>
        </w:rPr>
      </w:pPr>
      <w:r w:rsidRPr="003F05DB">
        <w:rPr>
          <w:rFonts w:asciiTheme="minorHAnsi" w:hAnsiTheme="minorHAnsi"/>
          <w:lang w:val="sr-Latn-BA"/>
        </w:rPr>
        <w:t xml:space="preserve">Kada se </w:t>
      </w:r>
      <w:r>
        <w:rPr>
          <w:rFonts w:asciiTheme="minorHAnsi" w:hAnsiTheme="minorHAnsi"/>
          <w:lang w:val="sr-Latn-BA"/>
        </w:rPr>
        <w:t>hov</w:t>
      </w:r>
      <w:r w:rsidRPr="003F05DB">
        <w:rPr>
          <w:rFonts w:asciiTheme="minorHAnsi" w:hAnsiTheme="minorHAnsi"/>
          <w:lang w:val="sr-Latn-BA"/>
        </w:rPr>
        <w:t xml:space="preserve"> klasifikovane po fer vrijednosti kroz ostali ukupan rezultat  otuđe, akumulirane korekcije fer vrijednosti za instrumente kapitala (akcije i udjele) priznate u okviru kapitala se knjiže u bilansu stanja na neraspoređeni dobitak/gubitak, dok se akumulirane korekcije fer vrijednosti za dužničke instrumente , priznate u okviru kapitala, prenose u bilans uspjeha.</w:t>
      </w:r>
    </w:p>
    <w:p w:rsidR="0001200E" w:rsidRPr="00814D3C" w:rsidRDefault="0001200E" w:rsidP="0001200E">
      <w:pPr>
        <w:jc w:val="both"/>
        <w:rPr>
          <w:rFonts w:asciiTheme="minorHAnsi" w:hAnsiTheme="minorHAnsi"/>
          <w:lang w:val="hr-HR"/>
        </w:rPr>
      </w:pPr>
    </w:p>
    <w:p w:rsidR="0001200E" w:rsidRPr="00814D3C" w:rsidRDefault="0001200E" w:rsidP="0001200E">
      <w:pPr>
        <w:jc w:val="both"/>
        <w:rPr>
          <w:rFonts w:asciiTheme="minorHAnsi" w:hAnsiTheme="minorHAnsi"/>
          <w:b/>
          <w:lang w:val="hr-HR"/>
        </w:rPr>
      </w:pPr>
      <w:r w:rsidRPr="00814D3C">
        <w:rPr>
          <w:rFonts w:asciiTheme="minorHAnsi" w:hAnsiTheme="minorHAnsi"/>
          <w:b/>
          <w:lang w:val="hr-HR"/>
        </w:rPr>
        <w:t>Gotovinski ekvivalenti i gotovina</w:t>
      </w:r>
    </w:p>
    <w:p w:rsidR="0001200E" w:rsidRPr="00814D3C" w:rsidRDefault="0001200E" w:rsidP="0001200E">
      <w:pPr>
        <w:jc w:val="both"/>
        <w:rPr>
          <w:rFonts w:asciiTheme="minorHAnsi" w:hAnsiTheme="minorHAnsi"/>
          <w:b/>
          <w:lang w:val="hr-HR"/>
        </w:rPr>
      </w:pPr>
    </w:p>
    <w:p w:rsidR="0001200E" w:rsidRDefault="0001200E" w:rsidP="0001200E">
      <w:pPr>
        <w:autoSpaceDE w:val="0"/>
        <w:autoSpaceDN w:val="0"/>
        <w:adjustRightInd w:val="0"/>
        <w:jc w:val="both"/>
        <w:rPr>
          <w:rFonts w:asciiTheme="minorHAnsi" w:eastAsia="Calibri" w:hAnsiTheme="minorHAnsi" w:cs="TimesNewRomanPSMT"/>
          <w:lang w:val="hr-HR"/>
        </w:rPr>
      </w:pPr>
      <w:proofErr w:type="spellStart"/>
      <w:r w:rsidRPr="00814D3C">
        <w:rPr>
          <w:rFonts w:asciiTheme="minorHAnsi" w:eastAsia="Calibri" w:hAnsiTheme="minorHAnsi" w:cs="TimesNewRomanPSMT"/>
        </w:rPr>
        <w:t>Gotovina</w:t>
      </w:r>
      <w:proofErr w:type="spellEnd"/>
      <w:r w:rsidRPr="00814D3C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Pr="00814D3C">
        <w:rPr>
          <w:rFonts w:asciiTheme="minorHAnsi" w:eastAsia="Calibri" w:hAnsiTheme="minorHAnsi" w:cs="TimesNewRomanPSMT"/>
        </w:rPr>
        <w:t>i</w:t>
      </w:r>
      <w:proofErr w:type="spellEnd"/>
      <w:r w:rsidRPr="00814D3C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Pr="00814D3C">
        <w:rPr>
          <w:rFonts w:asciiTheme="minorHAnsi" w:eastAsia="Calibri" w:hAnsiTheme="minorHAnsi" w:cs="TimesNewRomanPSMT"/>
        </w:rPr>
        <w:t>gotovinski</w:t>
      </w:r>
      <w:proofErr w:type="spellEnd"/>
      <w:r w:rsidRPr="00814D3C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Pr="00814D3C">
        <w:rPr>
          <w:rFonts w:asciiTheme="minorHAnsi" w:eastAsia="Calibri" w:hAnsiTheme="minorHAnsi" w:cs="TimesNewRomanPSMT"/>
        </w:rPr>
        <w:t>ekvivalenti</w:t>
      </w:r>
      <w:proofErr w:type="spellEnd"/>
      <w:r w:rsidRPr="00814D3C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Pr="00814D3C">
        <w:rPr>
          <w:rFonts w:asciiTheme="minorHAnsi" w:eastAsia="Calibri" w:hAnsiTheme="minorHAnsi" w:cs="TimesNewRomanPSMT"/>
        </w:rPr>
        <w:t>uklju</w:t>
      </w:r>
      <w:proofErr w:type="spellEnd"/>
      <w:r w:rsidRPr="00814D3C">
        <w:rPr>
          <w:rFonts w:asciiTheme="minorHAnsi" w:eastAsia="Calibri" w:hAnsiTheme="minorHAnsi" w:cs="TimesNewRomanPSMT"/>
          <w:lang w:val="hr-HR"/>
        </w:rPr>
        <w:t>č</w:t>
      </w:r>
      <w:proofErr w:type="spellStart"/>
      <w:r w:rsidRPr="00814D3C">
        <w:rPr>
          <w:rFonts w:asciiTheme="minorHAnsi" w:eastAsia="Calibri" w:hAnsiTheme="minorHAnsi" w:cs="TimesNewRomanPSMT"/>
        </w:rPr>
        <w:t>uju</w:t>
      </w:r>
      <w:proofErr w:type="spellEnd"/>
      <w:r w:rsidRPr="00814D3C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="006B1978">
        <w:rPr>
          <w:rFonts w:asciiTheme="minorHAnsi" w:eastAsia="Calibri" w:hAnsiTheme="minorHAnsi" w:cs="TimesNewRomanPSMT"/>
        </w:rPr>
        <w:t>gotovinu</w:t>
      </w:r>
      <w:proofErr w:type="spellEnd"/>
      <w:r w:rsidR="006B1978">
        <w:rPr>
          <w:rFonts w:asciiTheme="minorHAnsi" w:eastAsia="Calibri" w:hAnsiTheme="minorHAnsi" w:cs="TimesNewRomanPSMT"/>
        </w:rPr>
        <w:t xml:space="preserve"> </w:t>
      </w:r>
      <w:proofErr w:type="spellStart"/>
      <w:r w:rsidR="006B1978">
        <w:rPr>
          <w:rFonts w:asciiTheme="minorHAnsi" w:eastAsia="Calibri" w:hAnsiTheme="minorHAnsi" w:cs="TimesNewRomanPSMT"/>
        </w:rPr>
        <w:t>na</w:t>
      </w:r>
      <w:proofErr w:type="spellEnd"/>
      <w:r w:rsidR="006B1978">
        <w:rPr>
          <w:rFonts w:asciiTheme="minorHAnsi" w:eastAsia="Calibri" w:hAnsiTheme="minorHAnsi" w:cs="TimesNewRomanPSMT"/>
        </w:rPr>
        <w:t xml:space="preserve"> </w:t>
      </w:r>
      <w:proofErr w:type="spellStart"/>
      <w:r w:rsidR="006B1978">
        <w:rPr>
          <w:rFonts w:asciiTheme="minorHAnsi" w:eastAsia="Calibri" w:hAnsiTheme="minorHAnsi" w:cs="TimesNewRomanPSMT"/>
        </w:rPr>
        <w:t>transakcionim</w:t>
      </w:r>
      <w:proofErr w:type="spellEnd"/>
      <w:r w:rsidR="006B1978">
        <w:rPr>
          <w:rFonts w:asciiTheme="minorHAnsi" w:eastAsia="Calibri" w:hAnsiTheme="minorHAnsi" w:cs="TimesNewRomanPSMT"/>
        </w:rPr>
        <w:t xml:space="preserve"> </w:t>
      </w:r>
      <w:proofErr w:type="spellStart"/>
      <w:r w:rsidR="006B1978">
        <w:rPr>
          <w:rFonts w:asciiTheme="minorHAnsi" w:eastAsia="Calibri" w:hAnsiTheme="minorHAnsi" w:cs="TimesNewRomanPSMT"/>
        </w:rPr>
        <w:t>računima</w:t>
      </w:r>
      <w:proofErr w:type="spellEnd"/>
      <w:r w:rsidR="006B1978">
        <w:rPr>
          <w:rFonts w:asciiTheme="minorHAnsi" w:eastAsia="Calibri" w:hAnsiTheme="minorHAnsi" w:cs="TimesNewRomanPSMT"/>
        </w:rPr>
        <w:t xml:space="preserve"> u </w:t>
      </w:r>
      <w:proofErr w:type="spellStart"/>
      <w:proofErr w:type="gramStart"/>
      <w:r w:rsidR="006B1978">
        <w:rPr>
          <w:rFonts w:asciiTheme="minorHAnsi" w:eastAsia="Calibri" w:hAnsiTheme="minorHAnsi" w:cs="TimesNewRomanPSMT"/>
        </w:rPr>
        <w:t>bankama</w:t>
      </w:r>
      <w:proofErr w:type="spellEnd"/>
      <w:r w:rsidR="006B1978">
        <w:rPr>
          <w:rFonts w:asciiTheme="minorHAnsi" w:eastAsia="Calibri" w:hAnsiTheme="minorHAnsi" w:cs="TimesNewRomanPSMT"/>
        </w:rPr>
        <w:t xml:space="preserve"> </w:t>
      </w:r>
      <w:r w:rsidRPr="00814D3C">
        <w:rPr>
          <w:rFonts w:asciiTheme="minorHAnsi" w:eastAsia="Calibri" w:hAnsiTheme="minorHAnsi" w:cs="TimesNewRomanPSMT"/>
        </w:rPr>
        <w:t xml:space="preserve"> </w:t>
      </w:r>
      <w:proofErr w:type="spellStart"/>
      <w:r w:rsidRPr="00814D3C">
        <w:rPr>
          <w:rFonts w:asciiTheme="minorHAnsi" w:eastAsia="Calibri" w:hAnsiTheme="minorHAnsi" w:cs="TimesNewRomanPSMT"/>
        </w:rPr>
        <w:t>i</w:t>
      </w:r>
      <w:proofErr w:type="spellEnd"/>
      <w:proofErr w:type="gramEnd"/>
      <w:r w:rsidRPr="00814D3C">
        <w:rPr>
          <w:rFonts w:asciiTheme="minorHAnsi" w:eastAsia="Calibri" w:hAnsiTheme="minorHAnsi" w:cs="TimesNewRomanPSMT"/>
          <w:lang w:val="hr-HR"/>
        </w:rPr>
        <w:t xml:space="preserve"> novčana sredstva </w:t>
      </w:r>
      <w:r w:rsidRPr="00814D3C">
        <w:rPr>
          <w:rFonts w:asciiTheme="minorHAnsi" w:eastAsia="Calibri" w:hAnsiTheme="minorHAnsi" w:cs="TimesNewRomanPSMT"/>
        </w:rPr>
        <w:t xml:space="preserve">u </w:t>
      </w:r>
      <w:proofErr w:type="spellStart"/>
      <w:r w:rsidRPr="00814D3C">
        <w:rPr>
          <w:rFonts w:asciiTheme="minorHAnsi" w:eastAsia="Calibri" w:hAnsiTheme="minorHAnsi" w:cs="TimesNewRomanPSMT"/>
        </w:rPr>
        <w:t>blagajni</w:t>
      </w:r>
      <w:proofErr w:type="spellEnd"/>
      <w:r w:rsidRPr="00814D3C">
        <w:rPr>
          <w:rFonts w:asciiTheme="minorHAnsi" w:eastAsia="Calibri" w:hAnsiTheme="minorHAnsi" w:cs="TimesNewRomanPSMT"/>
          <w:lang w:val="hr-HR"/>
        </w:rPr>
        <w:t xml:space="preserve">. </w:t>
      </w:r>
    </w:p>
    <w:p w:rsidR="006B1978" w:rsidRDefault="006B1978" w:rsidP="0001200E">
      <w:pPr>
        <w:autoSpaceDE w:val="0"/>
        <w:autoSpaceDN w:val="0"/>
        <w:adjustRightInd w:val="0"/>
        <w:jc w:val="both"/>
        <w:rPr>
          <w:rFonts w:asciiTheme="minorHAnsi" w:eastAsia="Calibri" w:hAnsiTheme="minorHAnsi" w:cs="TimesNewRomanPSMT"/>
          <w:lang w:val="hr-HR"/>
        </w:rPr>
      </w:pPr>
    </w:p>
    <w:p w:rsidR="00727CC5" w:rsidRPr="00814D3C" w:rsidRDefault="00727CC5" w:rsidP="00727CC5">
      <w:pPr>
        <w:rPr>
          <w:rFonts w:asciiTheme="minorHAnsi" w:hAnsiTheme="minorHAnsi"/>
          <w:b/>
          <w:lang w:val="it-IT"/>
        </w:rPr>
      </w:pPr>
      <w:r w:rsidRPr="00814D3C">
        <w:rPr>
          <w:rFonts w:asciiTheme="minorHAnsi" w:hAnsiTheme="minorHAnsi"/>
          <w:b/>
          <w:lang w:val="it-IT"/>
        </w:rPr>
        <w:t xml:space="preserve">Potraživanja </w:t>
      </w:r>
    </w:p>
    <w:p w:rsidR="00727CC5" w:rsidRPr="00814D3C" w:rsidRDefault="00727CC5" w:rsidP="00727CC5">
      <w:pPr>
        <w:jc w:val="center"/>
        <w:rPr>
          <w:rFonts w:asciiTheme="minorHAnsi" w:hAnsiTheme="minorHAnsi"/>
          <w:lang w:val="it-IT"/>
        </w:rPr>
      </w:pPr>
    </w:p>
    <w:p w:rsidR="00DF5701" w:rsidRDefault="00727CC5" w:rsidP="00727CC5">
      <w:pPr>
        <w:jc w:val="both"/>
        <w:rPr>
          <w:rFonts w:asciiTheme="minorHAnsi" w:hAnsiTheme="minorHAnsi"/>
          <w:lang w:val="it-IT"/>
        </w:rPr>
      </w:pPr>
      <w:r w:rsidRPr="00814D3C">
        <w:rPr>
          <w:rFonts w:asciiTheme="minorHAnsi" w:hAnsiTheme="minorHAnsi"/>
          <w:lang w:val="it-IT"/>
        </w:rPr>
        <w:t xml:space="preserve">Potraživanja od kupaca </w:t>
      </w:r>
      <w:r w:rsidR="00DF5701">
        <w:rPr>
          <w:rFonts w:asciiTheme="minorHAnsi" w:hAnsiTheme="minorHAnsi"/>
          <w:lang w:val="it-IT"/>
        </w:rPr>
        <w:t>i ostala potraživanja sa fiksnim ili odredivim plaćanjima koja se ne kotiraju na aktivnom tržištu klasifikuju se kao potraživanja.</w:t>
      </w:r>
    </w:p>
    <w:p w:rsidR="00DF5701" w:rsidRDefault="00DF5701" w:rsidP="00727CC5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Na dan svakog bilansa stanja Društvo porecjenjuje da li posloje objektivni dokazi da je došlo do umanjenja vrijednosti potraživanja.</w:t>
      </w:r>
    </w:p>
    <w:p w:rsidR="00DF5701" w:rsidRDefault="00DF5701" w:rsidP="00727CC5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Obezvrjeđenje </w:t>
      </w:r>
      <w:r w:rsidR="00FF236E">
        <w:rPr>
          <w:rFonts w:asciiTheme="minorHAnsi" w:hAnsiTheme="minorHAnsi"/>
          <w:lang w:val="it-IT"/>
        </w:rPr>
        <w:t>potraživanja se vrši kada postoje objektivni dokazi da su kao rezultat jednog ili više događaja koji su se desili nakon počatnog priznavanja , procijenjeni novčani tokovi potraživanja izmijenjeni.</w:t>
      </w:r>
    </w:p>
    <w:p w:rsidR="00FF236E" w:rsidRDefault="00FF236E" w:rsidP="00727CC5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Obezvrjeđenje (ispravka vrijednosti) potraživanja vrši se na osnovu procijenjenih gubitaka usljed nemogćnosti kupaca da izmire svoje obaveze.</w:t>
      </w:r>
      <w:r w:rsidR="00142E68">
        <w:rPr>
          <w:rFonts w:asciiTheme="minorHAnsi" w:hAnsiTheme="minorHAnsi"/>
          <w:lang w:val="it-IT"/>
        </w:rPr>
        <w:t xml:space="preserve"> </w:t>
      </w:r>
      <w:r>
        <w:rPr>
          <w:rFonts w:asciiTheme="minorHAnsi" w:hAnsiTheme="minorHAnsi"/>
          <w:lang w:val="it-IT"/>
        </w:rPr>
        <w:t xml:space="preserve">Procjena rukovodstva je zasnovana na starosnoj </w:t>
      </w:r>
      <w:r w:rsidR="008D1919">
        <w:rPr>
          <w:rFonts w:asciiTheme="minorHAnsi" w:hAnsiTheme="minorHAnsi"/>
          <w:lang w:val="it-IT"/>
        </w:rPr>
        <w:t>analizi potraživanja od kupaca,</w:t>
      </w:r>
      <w:r>
        <w:rPr>
          <w:rFonts w:asciiTheme="minorHAnsi" w:hAnsiTheme="minorHAnsi"/>
          <w:lang w:val="it-IT"/>
        </w:rPr>
        <w:t xml:space="preserve"> istorijskim otpisima, kreditnoj sposlobnosti kupca i promjenama u postojećim uslovima prodaje</w:t>
      </w:r>
      <w:r w:rsidR="008D1919">
        <w:rPr>
          <w:rFonts w:asciiTheme="minorHAnsi" w:hAnsiTheme="minorHAnsi"/>
          <w:lang w:val="it-IT"/>
        </w:rPr>
        <w:t>.</w:t>
      </w:r>
    </w:p>
    <w:p w:rsidR="008D1919" w:rsidRDefault="008D1919" w:rsidP="00727CC5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Promjene na računima ispravke vrijednosti potraživanja evidentiraju se u korist ili na teret bilansa uspjeha.</w:t>
      </w:r>
    </w:p>
    <w:p w:rsidR="00DF5701" w:rsidRDefault="00DF5701" w:rsidP="00727CC5">
      <w:pPr>
        <w:jc w:val="both"/>
        <w:rPr>
          <w:rFonts w:asciiTheme="minorHAnsi" w:hAnsiTheme="minorHAnsi"/>
          <w:lang w:val="it-IT"/>
        </w:rPr>
      </w:pPr>
    </w:p>
    <w:p w:rsidR="00727CC5" w:rsidRDefault="006B1978" w:rsidP="0001200E">
      <w:pPr>
        <w:autoSpaceDE w:val="0"/>
        <w:autoSpaceDN w:val="0"/>
        <w:adjustRightInd w:val="0"/>
        <w:jc w:val="both"/>
        <w:rPr>
          <w:rFonts w:asciiTheme="minorHAnsi" w:eastAsia="Calibri" w:hAnsiTheme="minorHAnsi" w:cs="TimesNewRomanPSMT"/>
          <w:b/>
          <w:lang w:val="hr-HR"/>
        </w:rPr>
      </w:pPr>
      <w:r w:rsidRPr="006B1978">
        <w:rPr>
          <w:rFonts w:asciiTheme="minorHAnsi" w:eastAsia="Calibri" w:hAnsiTheme="minorHAnsi" w:cs="TimesNewRomanPSMT"/>
          <w:b/>
          <w:lang w:val="hr-HR"/>
        </w:rPr>
        <w:t>Transakcije u stranim valutama</w:t>
      </w:r>
    </w:p>
    <w:p w:rsidR="006B1978" w:rsidRPr="006B1978" w:rsidRDefault="006B1978" w:rsidP="0001200E">
      <w:pPr>
        <w:autoSpaceDE w:val="0"/>
        <w:autoSpaceDN w:val="0"/>
        <w:adjustRightInd w:val="0"/>
        <w:jc w:val="both"/>
        <w:rPr>
          <w:rFonts w:asciiTheme="minorHAnsi" w:eastAsia="Calibri" w:hAnsiTheme="minorHAnsi" w:cs="TimesNewRomanPSMT"/>
          <w:b/>
          <w:lang w:val="hr-HR"/>
        </w:rPr>
      </w:pPr>
    </w:p>
    <w:p w:rsidR="006B1978" w:rsidRPr="00814D3C" w:rsidRDefault="006B1978" w:rsidP="006B1978">
      <w:pPr>
        <w:autoSpaceDE w:val="0"/>
        <w:autoSpaceDN w:val="0"/>
        <w:adjustRightInd w:val="0"/>
        <w:jc w:val="both"/>
        <w:rPr>
          <w:rFonts w:asciiTheme="minorHAnsi" w:eastAsia="Calibri" w:hAnsiTheme="minorHAnsi" w:cs="TimesNewRomanPSMT"/>
          <w:lang w:val="hr-HR"/>
        </w:rPr>
      </w:pPr>
      <w:proofErr w:type="spellStart"/>
      <w:r w:rsidRPr="00814D3C">
        <w:rPr>
          <w:rFonts w:asciiTheme="minorHAnsi" w:eastAsia="Calibri" w:hAnsiTheme="minorHAnsi" w:cs="TimesNewRomanPSMT"/>
        </w:rPr>
        <w:t>Sredstva</w:t>
      </w:r>
      <w:proofErr w:type="spellEnd"/>
      <w:r w:rsidRPr="00814D3C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Pr="00814D3C">
        <w:rPr>
          <w:rFonts w:asciiTheme="minorHAnsi" w:eastAsia="Calibri" w:hAnsiTheme="minorHAnsi" w:cs="TimesNewRomanPSMT"/>
        </w:rPr>
        <w:t>i</w:t>
      </w:r>
      <w:proofErr w:type="spellEnd"/>
      <w:r w:rsidRPr="00814D3C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Pr="00814D3C">
        <w:rPr>
          <w:rFonts w:asciiTheme="minorHAnsi" w:eastAsia="Calibri" w:hAnsiTheme="minorHAnsi" w:cs="TimesNewRomanPSMT"/>
        </w:rPr>
        <w:t>obaveze</w:t>
      </w:r>
      <w:proofErr w:type="spellEnd"/>
      <w:r w:rsidRPr="00814D3C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Pr="00814D3C">
        <w:rPr>
          <w:rFonts w:asciiTheme="minorHAnsi" w:eastAsia="Calibri" w:hAnsiTheme="minorHAnsi" w:cs="TimesNewRomanPSMT"/>
        </w:rPr>
        <w:t>iskazane</w:t>
      </w:r>
      <w:proofErr w:type="spellEnd"/>
      <w:r w:rsidRPr="00814D3C">
        <w:rPr>
          <w:rFonts w:asciiTheme="minorHAnsi" w:eastAsia="Calibri" w:hAnsiTheme="minorHAnsi" w:cs="TimesNewRomanPSMT"/>
          <w:lang w:val="hr-HR"/>
        </w:rPr>
        <w:t xml:space="preserve"> </w:t>
      </w:r>
      <w:r w:rsidRPr="00814D3C">
        <w:rPr>
          <w:rFonts w:asciiTheme="minorHAnsi" w:eastAsia="Calibri" w:hAnsiTheme="minorHAnsi" w:cs="TimesNewRomanPSMT"/>
        </w:rPr>
        <w:t>u</w:t>
      </w:r>
      <w:r w:rsidRPr="00814D3C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Pr="00814D3C">
        <w:rPr>
          <w:rFonts w:asciiTheme="minorHAnsi" w:eastAsia="Calibri" w:hAnsiTheme="minorHAnsi" w:cs="TimesNewRomanPSMT"/>
        </w:rPr>
        <w:t>stranoj</w:t>
      </w:r>
      <w:proofErr w:type="spellEnd"/>
      <w:r w:rsidRPr="00814D3C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Pr="00814D3C">
        <w:rPr>
          <w:rFonts w:asciiTheme="minorHAnsi" w:eastAsia="Calibri" w:hAnsiTheme="minorHAnsi" w:cs="TimesNewRomanPSMT"/>
        </w:rPr>
        <w:t>valuti</w:t>
      </w:r>
      <w:proofErr w:type="spellEnd"/>
      <w:r w:rsidRPr="00814D3C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proofErr w:type="gramStart"/>
      <w:r w:rsidRPr="00814D3C">
        <w:rPr>
          <w:rFonts w:asciiTheme="minorHAnsi" w:eastAsia="Calibri" w:hAnsiTheme="minorHAnsi" w:cs="TimesNewRomanPSMT"/>
        </w:rPr>
        <w:t>na</w:t>
      </w:r>
      <w:proofErr w:type="spellEnd"/>
      <w:proofErr w:type="gramEnd"/>
      <w:r w:rsidRPr="00814D3C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Pr="00814D3C">
        <w:rPr>
          <w:rFonts w:asciiTheme="minorHAnsi" w:eastAsia="Calibri" w:hAnsiTheme="minorHAnsi" w:cs="TimesNewRomanPSMT"/>
        </w:rPr>
        <w:t>dan</w:t>
      </w:r>
      <w:proofErr w:type="spellEnd"/>
      <w:r w:rsidRPr="00814D3C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Pr="00814D3C">
        <w:rPr>
          <w:rFonts w:asciiTheme="minorHAnsi" w:eastAsia="Calibri" w:hAnsiTheme="minorHAnsi" w:cs="TimesNewRomanPSMT"/>
        </w:rPr>
        <w:t>bilansiranja</w:t>
      </w:r>
      <w:proofErr w:type="spellEnd"/>
      <w:r w:rsidRPr="00814D3C">
        <w:rPr>
          <w:rFonts w:asciiTheme="minorHAnsi" w:eastAsia="Calibri" w:hAnsiTheme="minorHAnsi" w:cs="TimesNewRomanPSMT"/>
          <w:lang w:val="hr-HR"/>
        </w:rPr>
        <w:t xml:space="preserve">, </w:t>
      </w:r>
      <w:proofErr w:type="spellStart"/>
      <w:r w:rsidRPr="00814D3C">
        <w:rPr>
          <w:rFonts w:asciiTheme="minorHAnsi" w:eastAsia="Calibri" w:hAnsiTheme="minorHAnsi" w:cs="TimesNewRomanPSMT"/>
        </w:rPr>
        <w:t>prera</w:t>
      </w:r>
      <w:proofErr w:type="spellEnd"/>
      <w:r w:rsidRPr="00814D3C">
        <w:rPr>
          <w:rFonts w:asciiTheme="minorHAnsi" w:eastAsia="Calibri" w:hAnsiTheme="minorHAnsi" w:cs="TimesNewRomanPSMT"/>
          <w:lang w:val="hr-HR"/>
        </w:rPr>
        <w:t>č</w:t>
      </w:r>
      <w:proofErr w:type="spellStart"/>
      <w:r w:rsidRPr="00814D3C">
        <w:rPr>
          <w:rFonts w:asciiTheme="minorHAnsi" w:eastAsia="Calibri" w:hAnsiTheme="minorHAnsi" w:cs="TimesNewRomanPSMT"/>
        </w:rPr>
        <w:t>unavaju</w:t>
      </w:r>
      <w:proofErr w:type="spellEnd"/>
      <w:r w:rsidRPr="00814D3C">
        <w:rPr>
          <w:rFonts w:asciiTheme="minorHAnsi" w:eastAsia="Calibri" w:hAnsiTheme="minorHAnsi" w:cs="TimesNewRomanPSMT"/>
          <w:lang w:val="hr-HR"/>
        </w:rPr>
        <w:t xml:space="preserve"> </w:t>
      </w:r>
      <w:r w:rsidRPr="00814D3C">
        <w:rPr>
          <w:rFonts w:asciiTheme="minorHAnsi" w:eastAsia="Calibri" w:hAnsiTheme="minorHAnsi" w:cs="TimesNewRomanPSMT"/>
        </w:rPr>
        <w:t>se</w:t>
      </w:r>
      <w:r w:rsidRPr="00814D3C">
        <w:rPr>
          <w:rFonts w:asciiTheme="minorHAnsi" w:eastAsia="Calibri" w:hAnsiTheme="minorHAnsi" w:cs="TimesNewRomanPSMT"/>
          <w:lang w:val="hr-HR"/>
        </w:rPr>
        <w:t xml:space="preserve"> </w:t>
      </w:r>
      <w:r w:rsidRPr="00814D3C">
        <w:rPr>
          <w:rFonts w:asciiTheme="minorHAnsi" w:eastAsia="Calibri" w:hAnsiTheme="minorHAnsi" w:cs="TimesNewRomanPSMT"/>
        </w:rPr>
        <w:t>u</w:t>
      </w:r>
      <w:r w:rsidRPr="00814D3C">
        <w:rPr>
          <w:rFonts w:asciiTheme="minorHAnsi" w:eastAsia="Calibri" w:hAnsiTheme="minorHAnsi" w:cs="TimesNewRomanPSMT"/>
          <w:lang w:val="hr-HR"/>
        </w:rPr>
        <w:t xml:space="preserve"> </w:t>
      </w:r>
      <w:r w:rsidRPr="00814D3C">
        <w:rPr>
          <w:rFonts w:asciiTheme="minorHAnsi" w:eastAsia="Calibri" w:hAnsiTheme="minorHAnsi" w:cs="TimesNewRomanPSMT"/>
        </w:rPr>
        <w:t>KM</w:t>
      </w:r>
      <w:r w:rsidRPr="00814D3C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Pr="00814D3C">
        <w:rPr>
          <w:rFonts w:asciiTheme="minorHAnsi" w:eastAsia="Calibri" w:hAnsiTheme="minorHAnsi" w:cs="TimesNewRomanPSMT"/>
        </w:rPr>
        <w:t>po</w:t>
      </w:r>
      <w:proofErr w:type="spellEnd"/>
      <w:r w:rsidRPr="00814D3C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Pr="006B1978">
        <w:rPr>
          <w:rFonts w:asciiTheme="minorHAnsi" w:eastAsia="Calibri" w:hAnsiTheme="minorHAnsi" w:cs="TimesNewRomanPSMT"/>
        </w:rPr>
        <w:t>zvani</w:t>
      </w:r>
      <w:proofErr w:type="spellEnd"/>
      <w:r w:rsidRPr="006B1978">
        <w:rPr>
          <w:rFonts w:asciiTheme="minorHAnsi" w:eastAsia="Calibri" w:hAnsiTheme="minorHAnsi" w:cs="TimesNewRomanPSMT"/>
          <w:lang w:val="hr-HR"/>
        </w:rPr>
        <w:t>č</w:t>
      </w:r>
      <w:r w:rsidRPr="006B1978">
        <w:rPr>
          <w:rFonts w:asciiTheme="minorHAnsi" w:eastAsia="Calibri" w:hAnsiTheme="minorHAnsi" w:cs="TimesNewRomanPSMT"/>
        </w:rPr>
        <w:t>nom</w:t>
      </w:r>
      <w:r w:rsidRPr="006B1978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Pr="006B1978">
        <w:rPr>
          <w:rFonts w:asciiTheme="minorHAnsi" w:eastAsia="Calibri" w:hAnsiTheme="minorHAnsi" w:cs="TimesNewRomanPSMT"/>
        </w:rPr>
        <w:t>kursu</w:t>
      </w:r>
      <w:proofErr w:type="spellEnd"/>
      <w:r w:rsidRPr="006B1978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Pr="006B1978">
        <w:rPr>
          <w:rFonts w:asciiTheme="minorHAnsi" w:eastAsia="Calibri" w:hAnsiTheme="minorHAnsi" w:cs="TimesNewRomanPSMT"/>
        </w:rPr>
        <w:t>Centralne</w:t>
      </w:r>
      <w:proofErr w:type="spellEnd"/>
      <w:r w:rsidRPr="006B1978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Pr="006B1978">
        <w:rPr>
          <w:rFonts w:asciiTheme="minorHAnsi" w:eastAsia="Calibri" w:hAnsiTheme="minorHAnsi" w:cs="TimesNewRomanPSMT"/>
        </w:rPr>
        <w:t>banke</w:t>
      </w:r>
      <w:proofErr w:type="spellEnd"/>
      <w:r>
        <w:rPr>
          <w:rFonts w:asciiTheme="minorHAnsi" w:eastAsia="Calibri" w:hAnsiTheme="minorHAnsi" w:cs="TimesNewRomanPSMT"/>
          <w:lang w:val="hr-HR"/>
        </w:rPr>
        <w:t xml:space="preserve">. </w:t>
      </w:r>
      <w:proofErr w:type="spellStart"/>
      <w:r w:rsidRPr="006B1978">
        <w:rPr>
          <w:rFonts w:asciiTheme="minorHAnsi" w:eastAsia="Calibri" w:hAnsiTheme="minorHAnsi" w:cs="TimesNewRomanPSMT"/>
        </w:rPr>
        <w:t>Poslovne</w:t>
      </w:r>
      <w:proofErr w:type="spellEnd"/>
      <w:r w:rsidRPr="006B1978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Pr="006B1978">
        <w:rPr>
          <w:rFonts w:asciiTheme="minorHAnsi" w:eastAsia="Calibri" w:hAnsiTheme="minorHAnsi" w:cs="TimesNewRomanPSMT"/>
        </w:rPr>
        <w:t>promjene</w:t>
      </w:r>
      <w:proofErr w:type="spellEnd"/>
      <w:r w:rsidRPr="006B1978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Pr="006B1978">
        <w:rPr>
          <w:rFonts w:asciiTheme="minorHAnsi" w:eastAsia="Calibri" w:hAnsiTheme="minorHAnsi" w:cs="TimesNewRomanPSMT"/>
        </w:rPr>
        <w:t>nastale</w:t>
      </w:r>
      <w:proofErr w:type="spellEnd"/>
      <w:r w:rsidRPr="006B1978">
        <w:rPr>
          <w:rFonts w:asciiTheme="minorHAnsi" w:eastAsia="Calibri" w:hAnsiTheme="minorHAnsi" w:cs="TimesNewRomanPSMT"/>
          <w:lang w:val="hr-HR"/>
        </w:rPr>
        <w:t xml:space="preserve"> </w:t>
      </w:r>
      <w:r w:rsidRPr="006B1978">
        <w:rPr>
          <w:rFonts w:asciiTheme="minorHAnsi" w:eastAsia="Calibri" w:hAnsiTheme="minorHAnsi" w:cs="TimesNewRomanPSMT"/>
        </w:rPr>
        <w:t>u</w:t>
      </w:r>
      <w:r w:rsidRPr="006B1978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Pr="006B1978">
        <w:rPr>
          <w:rFonts w:asciiTheme="minorHAnsi" w:eastAsia="Calibri" w:hAnsiTheme="minorHAnsi" w:cs="TimesNewRomanPSMT"/>
        </w:rPr>
        <w:t>stranoj</w:t>
      </w:r>
      <w:proofErr w:type="spellEnd"/>
      <w:r w:rsidRPr="006B1978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Pr="006B1978">
        <w:rPr>
          <w:rFonts w:asciiTheme="minorHAnsi" w:eastAsia="Calibri" w:hAnsiTheme="minorHAnsi" w:cs="TimesNewRomanPSMT"/>
        </w:rPr>
        <w:t>valuti</w:t>
      </w:r>
      <w:proofErr w:type="spellEnd"/>
      <w:r w:rsidRPr="006B1978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Pr="006B1978">
        <w:rPr>
          <w:rFonts w:asciiTheme="minorHAnsi" w:eastAsia="Calibri" w:hAnsiTheme="minorHAnsi" w:cs="TimesNewRomanPSMT"/>
        </w:rPr>
        <w:t>prera</w:t>
      </w:r>
      <w:proofErr w:type="spellEnd"/>
      <w:r w:rsidRPr="006B1978">
        <w:rPr>
          <w:rFonts w:asciiTheme="minorHAnsi" w:eastAsia="Calibri" w:hAnsiTheme="minorHAnsi" w:cs="TimesNewRomanPSMT"/>
          <w:lang w:val="hr-HR"/>
        </w:rPr>
        <w:t>č</w:t>
      </w:r>
      <w:proofErr w:type="spellStart"/>
      <w:r w:rsidRPr="006B1978">
        <w:rPr>
          <w:rFonts w:asciiTheme="minorHAnsi" w:eastAsia="Calibri" w:hAnsiTheme="minorHAnsi" w:cs="TimesNewRomanPSMT"/>
        </w:rPr>
        <w:t>unavaju</w:t>
      </w:r>
      <w:proofErr w:type="spellEnd"/>
      <w:r w:rsidRPr="006B1978">
        <w:rPr>
          <w:rFonts w:asciiTheme="minorHAnsi" w:eastAsia="Calibri" w:hAnsiTheme="minorHAnsi" w:cs="TimesNewRomanPSMT"/>
          <w:lang w:val="hr-HR"/>
        </w:rPr>
        <w:t xml:space="preserve"> </w:t>
      </w:r>
      <w:r w:rsidRPr="006B1978">
        <w:rPr>
          <w:rFonts w:asciiTheme="minorHAnsi" w:eastAsia="Calibri" w:hAnsiTheme="minorHAnsi" w:cs="TimesNewRomanPSMT"/>
        </w:rPr>
        <w:t>se</w:t>
      </w:r>
      <w:r w:rsidRPr="006B1978">
        <w:rPr>
          <w:rFonts w:asciiTheme="minorHAnsi" w:eastAsia="Calibri" w:hAnsiTheme="minorHAnsi" w:cs="TimesNewRomanPSMT"/>
          <w:color w:val="FF6600"/>
          <w:lang w:val="hr-HR"/>
        </w:rPr>
        <w:t xml:space="preserve"> </w:t>
      </w:r>
      <w:r w:rsidRPr="006B1978">
        <w:rPr>
          <w:rFonts w:asciiTheme="minorHAnsi" w:eastAsia="Calibri" w:hAnsiTheme="minorHAnsi" w:cs="TimesNewRomanPSMT"/>
        </w:rPr>
        <w:t>u</w:t>
      </w:r>
      <w:r w:rsidRPr="006B1978">
        <w:rPr>
          <w:rFonts w:asciiTheme="minorHAnsi" w:eastAsia="Calibri" w:hAnsiTheme="minorHAnsi" w:cs="TimesNewRomanPSMT"/>
          <w:lang w:val="hr-HR"/>
        </w:rPr>
        <w:t xml:space="preserve"> </w:t>
      </w:r>
      <w:r w:rsidRPr="006B1978">
        <w:rPr>
          <w:rFonts w:asciiTheme="minorHAnsi" w:eastAsia="Calibri" w:hAnsiTheme="minorHAnsi" w:cs="TimesNewRomanPSMT"/>
        </w:rPr>
        <w:t>KM</w:t>
      </w:r>
      <w:r w:rsidRPr="006B1978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Pr="006B1978">
        <w:rPr>
          <w:rFonts w:asciiTheme="minorHAnsi" w:eastAsia="Calibri" w:hAnsiTheme="minorHAnsi" w:cs="TimesNewRomanPSMT"/>
        </w:rPr>
        <w:t>po</w:t>
      </w:r>
      <w:proofErr w:type="spellEnd"/>
      <w:r w:rsidRPr="006B1978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Pr="006B1978">
        <w:rPr>
          <w:rFonts w:asciiTheme="minorHAnsi" w:eastAsia="Calibri" w:hAnsiTheme="minorHAnsi" w:cs="TimesNewRomanPSMT"/>
        </w:rPr>
        <w:t>zvani</w:t>
      </w:r>
      <w:proofErr w:type="spellEnd"/>
      <w:r w:rsidRPr="006B1978">
        <w:rPr>
          <w:rFonts w:asciiTheme="minorHAnsi" w:eastAsia="Calibri" w:hAnsiTheme="minorHAnsi" w:cs="TimesNewRomanPSMT"/>
          <w:lang w:val="hr-HR"/>
        </w:rPr>
        <w:t>č</w:t>
      </w:r>
      <w:r w:rsidRPr="006B1978">
        <w:rPr>
          <w:rFonts w:asciiTheme="minorHAnsi" w:eastAsia="Calibri" w:hAnsiTheme="minorHAnsi" w:cs="TimesNewRomanPSMT"/>
        </w:rPr>
        <w:t>nom</w:t>
      </w:r>
      <w:r w:rsidRPr="006B1978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Pr="006B1978">
        <w:rPr>
          <w:rFonts w:asciiTheme="minorHAnsi" w:eastAsia="Calibri" w:hAnsiTheme="minorHAnsi" w:cs="TimesNewRomanPSMT"/>
        </w:rPr>
        <w:t>kursu</w:t>
      </w:r>
      <w:proofErr w:type="spellEnd"/>
      <w:r w:rsidRPr="006B1978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Pr="006B1978">
        <w:rPr>
          <w:rFonts w:asciiTheme="minorHAnsi" w:eastAsia="Calibri" w:hAnsiTheme="minorHAnsi" w:cs="TimesNewRomanPSMT"/>
        </w:rPr>
        <w:t>Centralne</w:t>
      </w:r>
      <w:proofErr w:type="spellEnd"/>
      <w:r w:rsidRPr="006B1978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Pr="006B1978">
        <w:rPr>
          <w:rFonts w:asciiTheme="minorHAnsi" w:eastAsia="Calibri" w:hAnsiTheme="minorHAnsi" w:cs="TimesNewRomanPSMT"/>
        </w:rPr>
        <w:t>banke</w:t>
      </w:r>
      <w:proofErr w:type="spellEnd"/>
      <w:r w:rsidRPr="006B1978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Pr="006B1978">
        <w:rPr>
          <w:rFonts w:asciiTheme="minorHAnsi" w:eastAsia="Calibri" w:hAnsiTheme="minorHAnsi" w:cs="TimesNewRomanPSMT"/>
        </w:rPr>
        <w:t>koji</w:t>
      </w:r>
      <w:proofErr w:type="spellEnd"/>
      <w:r w:rsidRPr="006B1978">
        <w:rPr>
          <w:rFonts w:asciiTheme="minorHAnsi" w:eastAsia="Calibri" w:hAnsiTheme="minorHAnsi" w:cs="TimesNewRomanPSMT"/>
          <w:lang w:val="hr-HR"/>
        </w:rPr>
        <w:t xml:space="preserve"> </w:t>
      </w:r>
      <w:r w:rsidRPr="006B1978">
        <w:rPr>
          <w:rFonts w:asciiTheme="minorHAnsi" w:eastAsia="Calibri" w:hAnsiTheme="minorHAnsi" w:cs="TimesNewRomanPSMT"/>
        </w:rPr>
        <w:t>je</w:t>
      </w:r>
      <w:r w:rsidRPr="006B1978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Pr="006B1978">
        <w:rPr>
          <w:rFonts w:asciiTheme="minorHAnsi" w:eastAsia="Calibri" w:hAnsiTheme="minorHAnsi" w:cs="TimesNewRomanPSMT"/>
        </w:rPr>
        <w:t>va</w:t>
      </w:r>
      <w:proofErr w:type="spellEnd"/>
      <w:r w:rsidRPr="006B1978">
        <w:rPr>
          <w:rFonts w:asciiTheme="minorHAnsi" w:eastAsia="Calibri" w:hAnsiTheme="minorHAnsi" w:cs="TimesNewRomanPSMT"/>
          <w:lang w:val="hr-HR"/>
        </w:rPr>
        <w:t>ž</w:t>
      </w:r>
      <w:proofErr w:type="spellStart"/>
      <w:r w:rsidRPr="006B1978">
        <w:rPr>
          <w:rFonts w:asciiTheme="minorHAnsi" w:eastAsia="Calibri" w:hAnsiTheme="minorHAnsi" w:cs="TimesNewRomanPSMT"/>
        </w:rPr>
        <w:t>io</w:t>
      </w:r>
      <w:proofErr w:type="spellEnd"/>
      <w:r w:rsidRPr="006B1978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proofErr w:type="gramStart"/>
      <w:r w:rsidRPr="006B1978">
        <w:rPr>
          <w:rFonts w:asciiTheme="minorHAnsi" w:eastAsia="Calibri" w:hAnsiTheme="minorHAnsi" w:cs="TimesNewRomanPSMT"/>
        </w:rPr>
        <w:t>na</w:t>
      </w:r>
      <w:proofErr w:type="spellEnd"/>
      <w:proofErr w:type="gramEnd"/>
      <w:r w:rsidRPr="006B1978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Pr="006B1978">
        <w:rPr>
          <w:rFonts w:asciiTheme="minorHAnsi" w:eastAsia="Calibri" w:hAnsiTheme="minorHAnsi" w:cs="TimesNewRomanPSMT"/>
        </w:rPr>
        <w:t>dan</w:t>
      </w:r>
      <w:proofErr w:type="spellEnd"/>
      <w:r w:rsidRPr="006B1978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Pr="006B1978">
        <w:rPr>
          <w:rFonts w:asciiTheme="minorHAnsi" w:eastAsia="Calibri" w:hAnsiTheme="minorHAnsi" w:cs="TimesNewRomanPSMT"/>
        </w:rPr>
        <w:t>poslovne</w:t>
      </w:r>
      <w:proofErr w:type="spellEnd"/>
      <w:r w:rsidRPr="006B1978">
        <w:rPr>
          <w:rFonts w:asciiTheme="minorHAnsi" w:eastAsia="Calibri" w:hAnsiTheme="minorHAnsi" w:cs="TimesNewRomanPSMT"/>
          <w:lang w:val="hr-HR"/>
        </w:rPr>
        <w:t xml:space="preserve"> </w:t>
      </w:r>
      <w:proofErr w:type="spellStart"/>
      <w:r w:rsidRPr="006B1978">
        <w:rPr>
          <w:rFonts w:asciiTheme="minorHAnsi" w:eastAsia="Calibri" w:hAnsiTheme="minorHAnsi" w:cs="TimesNewRomanPSMT"/>
        </w:rPr>
        <w:t>promjene</w:t>
      </w:r>
      <w:proofErr w:type="spellEnd"/>
      <w:r w:rsidRPr="006B1978">
        <w:rPr>
          <w:rFonts w:asciiTheme="minorHAnsi" w:eastAsia="Calibri" w:hAnsiTheme="minorHAnsi" w:cs="TimesNewRomanPSMT"/>
          <w:lang w:val="hr-HR"/>
        </w:rPr>
        <w:t>.</w:t>
      </w:r>
    </w:p>
    <w:p w:rsidR="0001200E" w:rsidRPr="00814D3C" w:rsidRDefault="0001200E" w:rsidP="0001200E">
      <w:pPr>
        <w:jc w:val="both"/>
        <w:rPr>
          <w:rFonts w:asciiTheme="minorHAnsi" w:hAnsiTheme="minorHAnsi"/>
          <w:b/>
          <w:lang w:val="it-IT"/>
        </w:rPr>
      </w:pPr>
    </w:p>
    <w:p w:rsidR="0001200E" w:rsidRPr="00814D3C" w:rsidRDefault="0001200E" w:rsidP="0001200E">
      <w:pPr>
        <w:jc w:val="both"/>
        <w:rPr>
          <w:rFonts w:asciiTheme="minorHAnsi" w:hAnsiTheme="minorHAnsi"/>
          <w:b/>
          <w:lang w:val="it-IT"/>
        </w:rPr>
      </w:pPr>
      <w:r w:rsidRPr="00814D3C">
        <w:rPr>
          <w:rFonts w:asciiTheme="minorHAnsi" w:hAnsiTheme="minorHAnsi"/>
          <w:b/>
          <w:lang w:val="it-IT"/>
        </w:rPr>
        <w:t>Finansijske obaveze</w:t>
      </w:r>
    </w:p>
    <w:p w:rsidR="0001200E" w:rsidRPr="00814D3C" w:rsidRDefault="0001200E" w:rsidP="0001200E">
      <w:pPr>
        <w:rPr>
          <w:rFonts w:asciiTheme="minorHAnsi" w:hAnsiTheme="minorHAnsi"/>
          <w:lang w:val="it-IT"/>
        </w:rPr>
      </w:pPr>
    </w:p>
    <w:p w:rsidR="0001200E" w:rsidRDefault="0001200E" w:rsidP="0001200E">
      <w:pPr>
        <w:jc w:val="both"/>
        <w:rPr>
          <w:rFonts w:asciiTheme="minorHAnsi" w:hAnsiTheme="minorHAnsi"/>
          <w:lang w:val="it-IT"/>
        </w:rPr>
      </w:pPr>
      <w:r w:rsidRPr="00814D3C">
        <w:rPr>
          <w:rFonts w:asciiTheme="minorHAnsi" w:hAnsiTheme="minorHAnsi"/>
          <w:lang w:val="it-IT"/>
        </w:rPr>
        <w:t>Finansijske obaveze obuhvataju</w:t>
      </w:r>
      <w:r w:rsidR="00EB15F3">
        <w:rPr>
          <w:rFonts w:asciiTheme="minorHAnsi" w:hAnsiTheme="minorHAnsi"/>
          <w:lang w:val="it-IT"/>
        </w:rPr>
        <w:t xml:space="preserve"> dugoročne obaveze, </w:t>
      </w:r>
      <w:r w:rsidRPr="00814D3C">
        <w:rPr>
          <w:rFonts w:asciiTheme="minorHAnsi" w:hAnsiTheme="minorHAnsi"/>
          <w:lang w:val="it-IT"/>
        </w:rPr>
        <w:t xml:space="preserve"> kratkoročne obaveze iz poslovanja i ostale obaveze.</w:t>
      </w:r>
    </w:p>
    <w:p w:rsidR="00EB15F3" w:rsidRPr="00814D3C" w:rsidRDefault="00EB15F3" w:rsidP="0001200E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Početno priznavanje finansijskih obaveza vrši se prema njihovoj fer vrijednosti</w:t>
      </w:r>
    </w:p>
    <w:p w:rsidR="0001200E" w:rsidRPr="00814D3C" w:rsidRDefault="0001200E" w:rsidP="0001200E">
      <w:pPr>
        <w:jc w:val="both"/>
        <w:rPr>
          <w:rFonts w:asciiTheme="minorHAnsi" w:hAnsiTheme="minorHAnsi"/>
          <w:lang w:val="it-IT"/>
        </w:rPr>
      </w:pPr>
      <w:r w:rsidRPr="00814D3C">
        <w:rPr>
          <w:rFonts w:asciiTheme="minorHAnsi" w:hAnsiTheme="minorHAnsi"/>
          <w:lang w:val="it-IT"/>
        </w:rPr>
        <w:t>Finansijske obaveze se inicijalno priznaju u iznosu primljenih sredstava. Nakon početnog priz</w:t>
      </w:r>
      <w:r w:rsidR="00EB15F3">
        <w:rPr>
          <w:rFonts w:asciiTheme="minorHAnsi" w:hAnsiTheme="minorHAnsi"/>
          <w:lang w:val="it-IT"/>
        </w:rPr>
        <w:t>navanja finansijske obaveze se vrednuju po amortizovanoj vrijednosti korištenjem metode efektivne kamate . Rashodi po osnovu kamata se priznaju u bilansu uspjeha.</w:t>
      </w:r>
    </w:p>
    <w:p w:rsidR="00085957" w:rsidRDefault="00085957" w:rsidP="0001200E">
      <w:pPr>
        <w:jc w:val="both"/>
        <w:rPr>
          <w:rFonts w:asciiTheme="minorHAnsi" w:hAnsiTheme="minorHAnsi"/>
          <w:lang w:val="it-IT"/>
        </w:rPr>
      </w:pPr>
    </w:p>
    <w:p w:rsidR="00FD360F" w:rsidRPr="00814D3C" w:rsidRDefault="00FD360F" w:rsidP="00FD360F">
      <w:pPr>
        <w:jc w:val="both"/>
        <w:rPr>
          <w:rFonts w:asciiTheme="minorHAnsi" w:hAnsiTheme="minorHAnsi"/>
          <w:b/>
          <w:lang w:val="it-IT"/>
        </w:rPr>
      </w:pPr>
      <w:r>
        <w:rPr>
          <w:rFonts w:asciiTheme="minorHAnsi" w:hAnsiTheme="minorHAnsi"/>
          <w:b/>
          <w:lang w:val="it-IT"/>
        </w:rPr>
        <w:t xml:space="preserve">Rezervisanja </w:t>
      </w:r>
    </w:p>
    <w:p w:rsidR="00FE1264" w:rsidRDefault="00FE1264" w:rsidP="0001200E">
      <w:pPr>
        <w:jc w:val="both"/>
        <w:rPr>
          <w:rFonts w:asciiTheme="minorHAnsi" w:hAnsiTheme="minorHAnsi"/>
          <w:lang w:val="it-IT"/>
        </w:rPr>
      </w:pPr>
    </w:p>
    <w:p w:rsidR="00AA08E5" w:rsidRDefault="00AA08E5" w:rsidP="0001200E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Rezervisanja se priznaju i vrše kada Društvo ima zakonsku i ugovorenu obavezu, kao rezultat prošlih događaja i kada je vjerovatno da će odliv resursa biti potreban da se izmire obaveze, čija se procjena mogu pouzdano izmeriti.</w:t>
      </w:r>
    </w:p>
    <w:p w:rsidR="00FE325E" w:rsidRDefault="00AA08E5" w:rsidP="0001200E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lastRenderedPageBreak/>
        <w:t>Rezervisanja se sastoje  od rezervisanja za naknade i beneficije zaposlenih, obračunata kao sadašnja vrijednost akumuliranih prava zaposlenih na otpremnine.</w:t>
      </w:r>
    </w:p>
    <w:p w:rsidR="00FE1264" w:rsidRPr="00814D3C" w:rsidRDefault="00FE1264" w:rsidP="0001200E">
      <w:pPr>
        <w:jc w:val="both"/>
        <w:rPr>
          <w:rFonts w:asciiTheme="minorHAnsi" w:hAnsiTheme="minorHAnsi"/>
          <w:lang w:val="it-IT"/>
        </w:rPr>
      </w:pPr>
    </w:p>
    <w:p w:rsidR="0001200E" w:rsidRPr="00814D3C" w:rsidRDefault="0001200E" w:rsidP="0001200E">
      <w:pPr>
        <w:rPr>
          <w:rFonts w:asciiTheme="minorHAnsi" w:hAnsiTheme="minorHAnsi"/>
          <w:b/>
          <w:lang w:val="it-IT"/>
        </w:rPr>
      </w:pPr>
      <w:r w:rsidRPr="00814D3C">
        <w:rPr>
          <w:rFonts w:asciiTheme="minorHAnsi" w:hAnsiTheme="minorHAnsi"/>
          <w:b/>
          <w:lang w:val="it-IT"/>
        </w:rPr>
        <w:t>Tekući porez na dobit</w:t>
      </w:r>
    </w:p>
    <w:p w:rsidR="0001200E" w:rsidRPr="00814D3C" w:rsidRDefault="0001200E" w:rsidP="0001200E">
      <w:pPr>
        <w:rPr>
          <w:rFonts w:asciiTheme="minorHAnsi" w:hAnsiTheme="minorHAnsi"/>
          <w:lang w:val="it-IT"/>
        </w:rPr>
      </w:pPr>
    </w:p>
    <w:p w:rsidR="0001200E" w:rsidRDefault="0001200E" w:rsidP="0001200E">
      <w:pPr>
        <w:jc w:val="both"/>
        <w:rPr>
          <w:rFonts w:asciiTheme="minorHAnsi" w:hAnsiTheme="minorHAnsi"/>
          <w:lang w:val="it-IT"/>
        </w:rPr>
      </w:pPr>
      <w:r w:rsidRPr="00814D3C">
        <w:rPr>
          <w:rFonts w:asciiTheme="minorHAnsi" w:hAnsiTheme="minorHAnsi"/>
          <w:lang w:val="it-IT"/>
        </w:rPr>
        <w:t xml:space="preserve">Tekući porez na dobit predstavlja iznos koji se obračunava primjenom propisane poreske stope na osnovicu utvrđenu poreskim bilansom, koju predstavlja iznos dobiti prije oporezivanja po odbitku efekata usklađivanja prihoda i rashoda, u skladu sa važećim poreskim propisima Republike Srpske. </w:t>
      </w:r>
    </w:p>
    <w:p w:rsidR="00FE325E" w:rsidRPr="00814D3C" w:rsidRDefault="00FE325E" w:rsidP="0001200E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Konačni iznos obaveze poreza na dobit utvrđuje se primjenom poreske stope od 10%.</w:t>
      </w:r>
    </w:p>
    <w:p w:rsidR="0074670A" w:rsidRPr="00814D3C" w:rsidRDefault="0074670A" w:rsidP="0001200E">
      <w:pPr>
        <w:jc w:val="both"/>
        <w:rPr>
          <w:rFonts w:asciiTheme="minorHAnsi" w:hAnsiTheme="minorHAnsi"/>
          <w:lang w:val="it-IT"/>
        </w:rPr>
      </w:pPr>
    </w:p>
    <w:p w:rsidR="0001200E" w:rsidRDefault="0001200E" w:rsidP="005F5D4B">
      <w:pPr>
        <w:rPr>
          <w:rFonts w:asciiTheme="minorHAnsi" w:hAnsiTheme="minorHAnsi"/>
          <w:b/>
          <w:lang w:val="it-IT"/>
        </w:rPr>
      </w:pPr>
      <w:r w:rsidRPr="00814D3C">
        <w:rPr>
          <w:rFonts w:asciiTheme="minorHAnsi" w:hAnsiTheme="minorHAnsi"/>
          <w:b/>
          <w:lang w:val="it-IT"/>
        </w:rPr>
        <w:t>Rashodi</w:t>
      </w:r>
    </w:p>
    <w:p w:rsidR="00AC324B" w:rsidRPr="005F5D4B" w:rsidRDefault="00AC324B" w:rsidP="005F5D4B">
      <w:pPr>
        <w:rPr>
          <w:rFonts w:asciiTheme="minorHAnsi" w:hAnsiTheme="minorHAnsi"/>
          <w:b/>
          <w:lang w:val="it-IT"/>
        </w:rPr>
      </w:pPr>
    </w:p>
    <w:p w:rsidR="00AB5DA3" w:rsidRPr="00E86A18" w:rsidRDefault="0001200E" w:rsidP="00E86A18">
      <w:pPr>
        <w:jc w:val="both"/>
        <w:rPr>
          <w:rFonts w:asciiTheme="minorHAnsi" w:hAnsiTheme="minorHAnsi"/>
          <w:lang w:val="it-IT"/>
        </w:rPr>
      </w:pPr>
      <w:r w:rsidRPr="002B5A89">
        <w:rPr>
          <w:rFonts w:asciiTheme="minorHAnsi" w:hAnsiTheme="minorHAnsi"/>
          <w:lang w:val="it-IT"/>
        </w:rPr>
        <w:t>Rashodi se knjiže po obračunskoj osnovi, odnosno u periodu kada je obaveza za plaćanje nastala, bez obzira da</w:t>
      </w:r>
      <w:r w:rsidR="00E86A18">
        <w:rPr>
          <w:rFonts w:asciiTheme="minorHAnsi" w:hAnsiTheme="minorHAnsi"/>
          <w:lang w:val="it-IT"/>
        </w:rPr>
        <w:t xml:space="preserve"> li je izvršeno i samo plaćanje.</w:t>
      </w:r>
    </w:p>
    <w:p w:rsidR="00CA421E" w:rsidRPr="00F06C92" w:rsidRDefault="00CA421E" w:rsidP="0001200E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p w:rsidR="0001200E" w:rsidRDefault="0001200E" w:rsidP="0001200E">
      <w:p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</w:p>
    <w:p w:rsidR="001F1236" w:rsidRDefault="001F1236" w:rsidP="00837DC3">
      <w:pPr>
        <w:pStyle w:val="ListParagraph"/>
        <w:numPr>
          <w:ilvl w:val="0"/>
          <w:numId w:val="4"/>
        </w:num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  <w:r>
        <w:rPr>
          <w:rFonts w:asciiTheme="minorHAnsi" w:hAnsiTheme="minorHAnsi"/>
          <w:b/>
          <w:lang w:val="hr-HR"/>
        </w:rPr>
        <w:t xml:space="preserve">FINANSIJSKA SREDSTVA </w:t>
      </w:r>
      <w:r w:rsidR="0012117F">
        <w:rPr>
          <w:rFonts w:asciiTheme="minorHAnsi" w:hAnsiTheme="minorHAnsi"/>
          <w:b/>
          <w:lang w:val="hr-HR"/>
        </w:rPr>
        <w:t xml:space="preserve">PO FER VRIJEDNOSTI KROZ OSTALI UKUPAN REZULTAT </w:t>
      </w:r>
    </w:p>
    <w:p w:rsidR="001F1236" w:rsidRDefault="001F1236" w:rsidP="001F1236">
      <w:pPr>
        <w:tabs>
          <w:tab w:val="left" w:pos="6510"/>
        </w:tabs>
        <w:ind w:left="360"/>
        <w:jc w:val="both"/>
        <w:rPr>
          <w:rFonts w:asciiTheme="minorHAnsi" w:hAnsiTheme="minorHAnsi"/>
          <w:b/>
          <w:lang w:val="hr-HR"/>
        </w:rPr>
      </w:pPr>
    </w:p>
    <w:p w:rsidR="003043DD" w:rsidRPr="001F1236" w:rsidRDefault="00EE2FBE" w:rsidP="001F1236">
      <w:pPr>
        <w:tabs>
          <w:tab w:val="left" w:pos="6510"/>
        </w:tabs>
        <w:ind w:left="360"/>
        <w:jc w:val="both"/>
        <w:rPr>
          <w:rFonts w:asciiTheme="minorHAnsi" w:hAnsiTheme="minorHAnsi"/>
          <w:b/>
          <w:lang w:val="hr-HR"/>
        </w:rPr>
      </w:pPr>
      <w:r w:rsidRPr="001F1236">
        <w:rPr>
          <w:rFonts w:asciiTheme="minorHAnsi" w:hAnsiTheme="minorHAnsi"/>
          <w:b/>
          <w:lang w:val="hr-HR"/>
        </w:rPr>
        <w:t xml:space="preserve"> </w:t>
      </w:r>
    </w:p>
    <w:p w:rsidR="009B1656" w:rsidRPr="001F1236" w:rsidRDefault="001F1236" w:rsidP="0001200E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  <w:r w:rsidRPr="001F1236">
        <w:rPr>
          <w:rFonts w:asciiTheme="minorHAnsi" w:hAnsiTheme="minorHAnsi"/>
          <w:lang w:val="hr-HR"/>
        </w:rPr>
        <w:t xml:space="preserve">Odlukom o klasifikaciji hartija od vrijednosti br.351-UO/20 od 28.12. 2020.god. sve hov su klasifikovane „po fer vrijednosti kroz ostali ukupan rezultat“ (MSFI 9 –Finansijski instrumenti ). </w:t>
      </w:r>
    </w:p>
    <w:p w:rsidR="001F1236" w:rsidRPr="00814D3C" w:rsidRDefault="001F1236" w:rsidP="0001200E">
      <w:p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</w:p>
    <w:p w:rsidR="009B1656" w:rsidRPr="00200E78" w:rsidRDefault="009B1656" w:rsidP="009B1656">
      <w:pPr>
        <w:jc w:val="both"/>
        <w:rPr>
          <w:rFonts w:ascii="Calibri" w:hAnsi="Calibri" w:cs="Calibri"/>
        </w:rPr>
      </w:pPr>
      <w:r w:rsidRPr="00200E78">
        <w:rPr>
          <w:rFonts w:ascii="Calibri" w:hAnsi="Calibri" w:cs="Calibri"/>
        </w:rPr>
        <w:t xml:space="preserve">Fer vrijednost hartija </w:t>
      </w:r>
      <w:proofErr w:type="gramStart"/>
      <w:r w:rsidRPr="00200E78">
        <w:rPr>
          <w:rFonts w:ascii="Calibri" w:hAnsi="Calibri" w:cs="Calibri"/>
        </w:rPr>
        <w:t>od</w:t>
      </w:r>
      <w:proofErr w:type="gramEnd"/>
      <w:r w:rsidRPr="00200E78">
        <w:rPr>
          <w:rFonts w:ascii="Calibri" w:hAnsi="Calibri" w:cs="Calibri"/>
        </w:rPr>
        <w:t xml:space="preserve"> vrijednosti kojima je trgovano u posljednjih 12 mjese</w:t>
      </w:r>
      <w:r>
        <w:rPr>
          <w:rFonts w:ascii="Calibri" w:hAnsi="Calibri" w:cs="Calibri"/>
        </w:rPr>
        <w:t>ci od dana vrednovanja, vrednuje</w:t>
      </w:r>
      <w:r w:rsidRPr="00200E78">
        <w:rPr>
          <w:rFonts w:ascii="Calibri" w:hAnsi="Calibri" w:cs="Calibri"/>
        </w:rPr>
        <w:t xml:space="preserve"> se po prosječnoj ponderisanoj cijeni za ostvarene transakcije na berzi i prijavljene blok poslove, ostvarenoj na posljednji dan trgovanja.</w:t>
      </w:r>
    </w:p>
    <w:p w:rsidR="009B1656" w:rsidRPr="00200E78" w:rsidRDefault="009B1656" w:rsidP="009B1656">
      <w:pPr>
        <w:jc w:val="both"/>
        <w:rPr>
          <w:rFonts w:ascii="Calibri" w:hAnsi="Calibri" w:cs="Calibri"/>
        </w:rPr>
      </w:pPr>
    </w:p>
    <w:p w:rsidR="009B1656" w:rsidRPr="00200E78" w:rsidRDefault="009B1656" w:rsidP="009B165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line="274" w:lineRule="exact"/>
        <w:ind w:left="19"/>
        <w:jc w:val="both"/>
        <w:rPr>
          <w:rFonts w:ascii="Calibri" w:hAnsi="Calibri" w:cs="Calibri"/>
        </w:rPr>
      </w:pPr>
      <w:r w:rsidRPr="00200E78">
        <w:rPr>
          <w:rFonts w:ascii="Calibri" w:hAnsi="Calibri" w:cs="Calibri"/>
        </w:rPr>
        <w:t xml:space="preserve">Ukoliko sa hartijom od vrijednosti kojom se trguje na službenom berzanskom tržištu berzi u Bosni Hercegovini nije obavljena trgovina u posljednjih 12 mjeseci od dana vrednovanja, fer vrijednost se obračunava na način da se cijena iz posljednjeg periodičnog obračuna fer vrijednosti, po potrebi, koriguje na osnovu analize podataka o značajnim događajima koji utiču na poslovanje emitenta. </w:t>
      </w:r>
    </w:p>
    <w:p w:rsidR="0001200E" w:rsidRDefault="0001200E" w:rsidP="0001200E">
      <w:p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</w:p>
    <w:p w:rsidR="0094119F" w:rsidRPr="00200E78" w:rsidRDefault="0094119F" w:rsidP="0094119F">
      <w:pPr>
        <w:shd w:val="clear" w:color="auto" w:fill="FFFFFF"/>
        <w:spacing w:before="125"/>
        <w:ind w:left="19"/>
        <w:jc w:val="both"/>
        <w:rPr>
          <w:rFonts w:ascii="Calibri" w:hAnsi="Calibri" w:cs="Calibri"/>
          <w:lang w:val="sr-Latn-CS"/>
        </w:rPr>
      </w:pPr>
      <w:r w:rsidRPr="00200E78">
        <w:rPr>
          <w:rFonts w:ascii="Calibri" w:hAnsi="Calibri" w:cs="Calibri"/>
          <w:lang w:val="sr-Latn-CS"/>
        </w:rPr>
        <w:t>Ukoliko hartijom od vrijednosti na slobodnom berzanskom tržištu nije ostvarena trgovina u posljednjih 12 mjeseci, i ukoliko su poznate sve od sljedeće tri cijene:</w:t>
      </w:r>
    </w:p>
    <w:p w:rsidR="0094119F" w:rsidRPr="00200E78" w:rsidRDefault="0094119F" w:rsidP="0094119F">
      <w:pPr>
        <w:shd w:val="clear" w:color="auto" w:fill="FFFFFF"/>
        <w:spacing w:before="125"/>
        <w:ind w:left="19"/>
        <w:jc w:val="both"/>
        <w:rPr>
          <w:rFonts w:ascii="Calibri" w:hAnsi="Calibri" w:cs="Calibri"/>
          <w:lang w:val="sr-Latn-CS"/>
        </w:rPr>
      </w:pPr>
    </w:p>
    <w:p w:rsidR="0094119F" w:rsidRPr="00200E78" w:rsidRDefault="0094119F" w:rsidP="0094119F">
      <w:pPr>
        <w:numPr>
          <w:ilvl w:val="0"/>
          <w:numId w:val="2"/>
        </w:numPr>
        <w:shd w:val="clear" w:color="auto" w:fill="FFFFFF"/>
        <w:spacing w:line="276" w:lineRule="auto"/>
        <w:ind w:left="374" w:hanging="357"/>
        <w:jc w:val="both"/>
        <w:rPr>
          <w:rFonts w:ascii="Calibri" w:hAnsi="Calibri" w:cs="Calibri"/>
          <w:lang w:val="sr-Latn-CS"/>
        </w:rPr>
      </w:pPr>
      <w:r w:rsidRPr="00200E78">
        <w:rPr>
          <w:rFonts w:ascii="Calibri" w:hAnsi="Calibri" w:cs="Calibri"/>
          <w:lang w:val="sr-Latn-CS"/>
        </w:rPr>
        <w:t>korigovana tržišna cijena,</w:t>
      </w:r>
    </w:p>
    <w:p w:rsidR="0094119F" w:rsidRPr="00200E78" w:rsidRDefault="0094119F" w:rsidP="0094119F">
      <w:pPr>
        <w:numPr>
          <w:ilvl w:val="0"/>
          <w:numId w:val="2"/>
        </w:numPr>
        <w:shd w:val="clear" w:color="auto" w:fill="FFFFFF"/>
        <w:spacing w:line="276" w:lineRule="auto"/>
        <w:ind w:left="374" w:hanging="357"/>
        <w:jc w:val="both"/>
        <w:rPr>
          <w:rFonts w:ascii="Calibri" w:hAnsi="Calibri" w:cs="Calibri"/>
          <w:lang w:val="sr-Latn-CS"/>
        </w:rPr>
      </w:pPr>
      <w:r w:rsidRPr="00200E78">
        <w:rPr>
          <w:rFonts w:ascii="Calibri" w:hAnsi="Calibri" w:cs="Calibri"/>
          <w:lang w:val="sr-Latn-CS"/>
        </w:rPr>
        <w:t xml:space="preserve">nabavna cijena, </w:t>
      </w:r>
    </w:p>
    <w:p w:rsidR="0094119F" w:rsidRPr="00200E78" w:rsidRDefault="0094119F" w:rsidP="0094119F">
      <w:pPr>
        <w:numPr>
          <w:ilvl w:val="0"/>
          <w:numId w:val="2"/>
        </w:numPr>
        <w:shd w:val="clear" w:color="auto" w:fill="FFFFFF"/>
        <w:spacing w:line="276" w:lineRule="auto"/>
        <w:ind w:left="374" w:hanging="357"/>
        <w:jc w:val="both"/>
        <w:rPr>
          <w:rFonts w:ascii="Calibri" w:hAnsi="Calibri" w:cs="Calibri"/>
          <w:lang w:val="sr-Latn-CS"/>
        </w:rPr>
      </w:pPr>
      <w:r w:rsidRPr="00200E78">
        <w:rPr>
          <w:rFonts w:ascii="Calibri" w:hAnsi="Calibri" w:cs="Calibri"/>
          <w:lang w:val="sr-Latn-CS"/>
        </w:rPr>
        <w:t xml:space="preserve">korigovana knjigovodstvena cijena, </w:t>
      </w:r>
    </w:p>
    <w:p w:rsidR="0094119F" w:rsidRPr="00200E78" w:rsidRDefault="0094119F" w:rsidP="0094119F">
      <w:pPr>
        <w:shd w:val="clear" w:color="auto" w:fill="FFFFFF"/>
        <w:spacing w:before="125" w:line="274" w:lineRule="exact"/>
        <w:ind w:left="19"/>
        <w:jc w:val="both"/>
        <w:rPr>
          <w:rFonts w:ascii="Calibri" w:hAnsi="Calibri" w:cs="Calibri"/>
          <w:lang w:val="sr-Latn-CS"/>
        </w:rPr>
      </w:pPr>
      <w:r w:rsidRPr="00200E78">
        <w:rPr>
          <w:rFonts w:ascii="Calibri" w:hAnsi="Calibri" w:cs="Calibri"/>
          <w:lang w:val="sr-Latn-CS"/>
        </w:rPr>
        <w:t>tada se kao fer vrijednost uzima najniža od prethodno pobrojanih.</w:t>
      </w:r>
    </w:p>
    <w:p w:rsidR="0094119F" w:rsidRPr="00814D3C" w:rsidRDefault="0094119F" w:rsidP="0001200E">
      <w:p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</w:p>
    <w:p w:rsidR="0094119F" w:rsidRPr="00200E78" w:rsidRDefault="0094119F" w:rsidP="0094119F">
      <w:pPr>
        <w:jc w:val="both"/>
        <w:rPr>
          <w:rFonts w:ascii="Calibri" w:hAnsi="Calibri" w:cs="Calibri"/>
          <w:lang w:val="sr-Latn-CS"/>
        </w:rPr>
      </w:pPr>
      <w:r w:rsidRPr="00200E78">
        <w:rPr>
          <w:rFonts w:ascii="Calibri" w:hAnsi="Calibri" w:cs="Calibri"/>
          <w:lang w:val="sr-Latn-CS"/>
        </w:rPr>
        <w:t>Fer vrijednost har</w:t>
      </w:r>
      <w:r>
        <w:rPr>
          <w:rFonts w:ascii="Calibri" w:hAnsi="Calibri" w:cs="Calibri"/>
          <w:lang w:val="sr-Latn-CS"/>
        </w:rPr>
        <w:t>tija od vrijednosti</w:t>
      </w:r>
      <w:r w:rsidRPr="00200E78">
        <w:rPr>
          <w:rFonts w:ascii="Calibri" w:hAnsi="Calibri" w:cs="Calibri"/>
          <w:lang w:val="sr-Latn-CS"/>
        </w:rPr>
        <w:t>:</w:t>
      </w:r>
    </w:p>
    <w:p w:rsidR="0094119F" w:rsidRPr="00200E78" w:rsidRDefault="0094119F" w:rsidP="0094119F">
      <w:pPr>
        <w:jc w:val="both"/>
        <w:rPr>
          <w:rFonts w:ascii="Calibri" w:hAnsi="Calibri" w:cs="Calibri"/>
          <w:lang w:val="sr-Latn-CS"/>
        </w:rPr>
      </w:pPr>
    </w:p>
    <w:p w:rsidR="0094119F" w:rsidRPr="00200E78" w:rsidRDefault="0094119F" w:rsidP="0094119F">
      <w:pPr>
        <w:numPr>
          <w:ilvl w:val="0"/>
          <w:numId w:val="3"/>
        </w:numPr>
        <w:spacing w:line="276" w:lineRule="auto"/>
        <w:jc w:val="both"/>
        <w:rPr>
          <w:rFonts w:ascii="Calibri" w:hAnsi="Calibri" w:cs="Calibri"/>
        </w:rPr>
      </w:pPr>
      <w:r w:rsidRPr="00200E78">
        <w:rPr>
          <w:rFonts w:ascii="Calibri" w:hAnsi="Calibri" w:cs="Calibri"/>
        </w:rPr>
        <w:t>čiji se emitenti nalaze u jednoj od faza stečajnog postupka ili  postupka likvidacije i</w:t>
      </w:r>
    </w:p>
    <w:p w:rsidR="0094119F" w:rsidRPr="00200E78" w:rsidRDefault="0094119F" w:rsidP="0094119F">
      <w:pPr>
        <w:numPr>
          <w:ilvl w:val="0"/>
          <w:numId w:val="3"/>
        </w:numPr>
        <w:spacing w:line="276" w:lineRule="auto"/>
        <w:jc w:val="both"/>
        <w:rPr>
          <w:rFonts w:ascii="Calibri" w:hAnsi="Calibri" w:cs="Calibri"/>
        </w:rPr>
      </w:pPr>
      <w:r w:rsidRPr="00200E78">
        <w:rPr>
          <w:rFonts w:ascii="Calibri" w:hAnsi="Calibri" w:cs="Calibri"/>
        </w:rPr>
        <w:t>za koje nije izvršena registracija kod Centralnog registra hartija od vrijednosti niti upis u Registar emitenata kod Komisije za hartije od vrijednosti Republike Srpske, tj.  nije izvršena promjena oblika organizovanja iz ODP u AD ( korporatizacija)</w:t>
      </w:r>
    </w:p>
    <w:p w:rsidR="0094119F" w:rsidRPr="005D39FA" w:rsidRDefault="0094119F" w:rsidP="0094119F">
      <w:pPr>
        <w:numPr>
          <w:ilvl w:val="0"/>
          <w:numId w:val="3"/>
        </w:numPr>
        <w:spacing w:line="276" w:lineRule="auto"/>
        <w:jc w:val="both"/>
        <w:rPr>
          <w:rFonts w:ascii="Calibri" w:hAnsi="Calibri" w:cs="Calibri"/>
        </w:rPr>
      </w:pPr>
      <w:proofErr w:type="spellStart"/>
      <w:proofErr w:type="gramStart"/>
      <w:r w:rsidRPr="00200E78">
        <w:rPr>
          <w:rFonts w:ascii="Calibri" w:hAnsi="Calibri" w:cs="Calibri"/>
        </w:rPr>
        <w:lastRenderedPageBreak/>
        <w:t>i</w:t>
      </w:r>
      <w:proofErr w:type="spellEnd"/>
      <w:proofErr w:type="gramEnd"/>
      <w:r w:rsidRPr="00200E78">
        <w:rPr>
          <w:rFonts w:ascii="Calibri" w:hAnsi="Calibri" w:cs="Calibri"/>
        </w:rPr>
        <w:t xml:space="preserve"> </w:t>
      </w:r>
      <w:proofErr w:type="spellStart"/>
      <w:r w:rsidRPr="00200E78">
        <w:rPr>
          <w:rFonts w:ascii="Calibri" w:hAnsi="Calibri" w:cs="Calibri"/>
        </w:rPr>
        <w:t>kod</w:t>
      </w:r>
      <w:proofErr w:type="spellEnd"/>
      <w:r w:rsidRPr="00200E78">
        <w:rPr>
          <w:rFonts w:ascii="Calibri" w:hAnsi="Calibri" w:cs="Calibri"/>
        </w:rPr>
        <w:t xml:space="preserve"> </w:t>
      </w:r>
      <w:proofErr w:type="spellStart"/>
      <w:r w:rsidRPr="00200E78">
        <w:rPr>
          <w:rFonts w:ascii="Calibri" w:hAnsi="Calibri" w:cs="Calibri"/>
        </w:rPr>
        <w:t>kojih</w:t>
      </w:r>
      <w:proofErr w:type="spellEnd"/>
      <w:r w:rsidRPr="00200E78">
        <w:rPr>
          <w:rFonts w:ascii="Calibri" w:hAnsi="Calibri" w:cs="Calibri"/>
        </w:rPr>
        <w:t xml:space="preserve"> je </w:t>
      </w:r>
      <w:proofErr w:type="spellStart"/>
      <w:r w:rsidRPr="00200E78">
        <w:rPr>
          <w:rFonts w:ascii="Calibri" w:hAnsi="Calibri" w:cs="Calibri"/>
        </w:rPr>
        <w:t>knjigovodstvena</w:t>
      </w:r>
      <w:proofErr w:type="spellEnd"/>
      <w:r w:rsidRPr="00200E78">
        <w:rPr>
          <w:rFonts w:ascii="Calibri" w:hAnsi="Calibri" w:cs="Calibri"/>
        </w:rPr>
        <w:t xml:space="preserve"> </w:t>
      </w:r>
      <w:proofErr w:type="spellStart"/>
      <w:r w:rsidRPr="00200E78">
        <w:rPr>
          <w:rFonts w:ascii="Calibri" w:hAnsi="Calibri" w:cs="Calibri"/>
        </w:rPr>
        <w:t>vrijednost</w:t>
      </w:r>
      <w:proofErr w:type="spellEnd"/>
      <w:r w:rsidRPr="00200E78">
        <w:rPr>
          <w:rFonts w:ascii="Calibri" w:hAnsi="Calibri" w:cs="Calibri"/>
        </w:rPr>
        <w:t xml:space="preserve"> </w:t>
      </w:r>
      <w:proofErr w:type="spellStart"/>
      <w:r w:rsidRPr="00200E78">
        <w:rPr>
          <w:rFonts w:ascii="Calibri" w:hAnsi="Calibri" w:cs="Calibri"/>
        </w:rPr>
        <w:t>jednaka</w:t>
      </w:r>
      <w:proofErr w:type="spellEnd"/>
      <w:r w:rsidRPr="00200E78">
        <w:rPr>
          <w:rFonts w:ascii="Calibri" w:hAnsi="Calibri" w:cs="Calibri"/>
        </w:rPr>
        <w:t xml:space="preserve"> 0 (</w:t>
      </w:r>
      <w:proofErr w:type="spellStart"/>
      <w:r w:rsidRPr="00200E78">
        <w:rPr>
          <w:rFonts w:ascii="Calibri" w:hAnsi="Calibri" w:cs="Calibri"/>
        </w:rPr>
        <w:t>gubitak</w:t>
      </w:r>
      <w:proofErr w:type="spellEnd"/>
      <w:r w:rsidRPr="00200E78">
        <w:rPr>
          <w:rFonts w:ascii="Calibri" w:hAnsi="Calibri" w:cs="Calibri"/>
        </w:rPr>
        <w:t xml:space="preserve"> </w:t>
      </w:r>
      <w:proofErr w:type="spellStart"/>
      <w:r w:rsidRPr="00200E78">
        <w:rPr>
          <w:rFonts w:ascii="Calibri" w:hAnsi="Calibri" w:cs="Calibri"/>
        </w:rPr>
        <w:t>iznad</w:t>
      </w:r>
      <w:proofErr w:type="spellEnd"/>
      <w:r w:rsidRPr="00200E78">
        <w:rPr>
          <w:rFonts w:ascii="Calibri" w:hAnsi="Calibri" w:cs="Calibri"/>
        </w:rPr>
        <w:t xml:space="preserve"> </w:t>
      </w:r>
      <w:proofErr w:type="spellStart"/>
      <w:r w:rsidRPr="00200E78">
        <w:rPr>
          <w:rFonts w:ascii="Calibri" w:hAnsi="Calibri" w:cs="Calibri"/>
        </w:rPr>
        <w:t>kapitala</w:t>
      </w:r>
      <w:proofErr w:type="spellEnd"/>
      <w:r w:rsidRPr="00200E78">
        <w:rPr>
          <w:rFonts w:ascii="Calibri" w:hAnsi="Calibri" w:cs="Calibri"/>
        </w:rPr>
        <w:t xml:space="preserve"> </w:t>
      </w:r>
      <w:proofErr w:type="spellStart"/>
      <w:r w:rsidRPr="00200E78">
        <w:rPr>
          <w:rFonts w:ascii="Calibri" w:hAnsi="Calibri" w:cs="Calibri"/>
        </w:rPr>
        <w:t>ili</w:t>
      </w:r>
      <w:proofErr w:type="spellEnd"/>
      <w:r w:rsidRPr="00200E78">
        <w:rPr>
          <w:rFonts w:ascii="Calibri" w:hAnsi="Calibri" w:cs="Calibri"/>
        </w:rPr>
        <w:t xml:space="preserve"> je </w:t>
      </w:r>
      <w:proofErr w:type="spellStart"/>
      <w:r w:rsidRPr="00200E78">
        <w:rPr>
          <w:rFonts w:ascii="Calibri" w:hAnsi="Calibri" w:cs="Calibri"/>
        </w:rPr>
        <w:t>finansijski</w:t>
      </w:r>
      <w:proofErr w:type="spellEnd"/>
      <w:r w:rsidRPr="00200E78">
        <w:rPr>
          <w:rFonts w:ascii="Calibri" w:hAnsi="Calibri" w:cs="Calibri"/>
        </w:rPr>
        <w:t xml:space="preserve"> </w:t>
      </w:r>
      <w:proofErr w:type="spellStart"/>
      <w:r w:rsidRPr="00200E78">
        <w:rPr>
          <w:rFonts w:ascii="Calibri" w:hAnsi="Calibri" w:cs="Calibri"/>
        </w:rPr>
        <w:t>izvještaj</w:t>
      </w:r>
      <w:proofErr w:type="spellEnd"/>
      <w:r w:rsidRPr="00200E78">
        <w:rPr>
          <w:rFonts w:ascii="Calibri" w:hAnsi="Calibri" w:cs="Calibri"/>
        </w:rPr>
        <w:t xml:space="preserve"> </w:t>
      </w:r>
      <w:proofErr w:type="spellStart"/>
      <w:r w:rsidRPr="00200E78">
        <w:rPr>
          <w:rFonts w:ascii="Calibri" w:hAnsi="Calibri" w:cs="Calibri"/>
        </w:rPr>
        <w:t>nedostupan</w:t>
      </w:r>
      <w:proofErr w:type="spellEnd"/>
      <w:r w:rsidRPr="00200E78">
        <w:rPr>
          <w:rFonts w:ascii="Calibri" w:hAnsi="Calibri" w:cs="Calibri"/>
        </w:rPr>
        <w:t>)</w:t>
      </w:r>
      <w:r w:rsidR="005D39FA">
        <w:rPr>
          <w:rFonts w:ascii="Calibri" w:hAnsi="Calibri" w:cs="Calibri"/>
        </w:rPr>
        <w:t xml:space="preserve"> </w:t>
      </w:r>
      <w:r w:rsidRPr="005D39FA">
        <w:rPr>
          <w:rFonts w:ascii="Calibri" w:hAnsi="Calibri" w:cs="Calibri"/>
          <w:lang w:val="sr-Latn-CS"/>
        </w:rPr>
        <w:t>vrednuju se po cijeni 0.</w:t>
      </w:r>
    </w:p>
    <w:p w:rsidR="00BB69AE" w:rsidRPr="00814D3C" w:rsidRDefault="00BB69AE" w:rsidP="0001200E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p w:rsidR="0001200E" w:rsidRPr="001D0A63" w:rsidRDefault="0001200E" w:rsidP="0001200E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  <w:r w:rsidRPr="001D0A63">
        <w:rPr>
          <w:rFonts w:asciiTheme="minorHAnsi" w:hAnsiTheme="minorHAnsi"/>
          <w:lang w:val="hr-HR"/>
        </w:rPr>
        <w:t xml:space="preserve">Efekti promjena fer vrijednosti hov  iskazuju se kao nerealizovani dobici/gubici hov </w:t>
      </w:r>
      <w:r w:rsidR="0012117F" w:rsidRPr="001D0A63">
        <w:rPr>
          <w:rFonts w:asciiTheme="minorHAnsi" w:hAnsiTheme="minorHAnsi"/>
          <w:lang w:val="hr-HR"/>
        </w:rPr>
        <w:t>po fer vrijednosti kroz ostali ukupan rezultat</w:t>
      </w:r>
      <w:r w:rsidRPr="001D0A63">
        <w:rPr>
          <w:rFonts w:asciiTheme="minorHAnsi" w:hAnsiTheme="minorHAnsi"/>
          <w:lang w:val="hr-HR"/>
        </w:rPr>
        <w:t xml:space="preserve"> priznaju se direktno u kapitalu, kao i u izvještaju o promjenama u kapitalu.</w:t>
      </w:r>
    </w:p>
    <w:p w:rsidR="00422F91" w:rsidRDefault="00422F91" w:rsidP="0001200E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p w:rsidR="0094119F" w:rsidRDefault="001F1236" w:rsidP="0001200E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>Efekti prodaje iskazuju</w:t>
      </w:r>
      <w:r w:rsidR="00717097">
        <w:rPr>
          <w:rFonts w:asciiTheme="minorHAnsi" w:hAnsiTheme="minorHAnsi"/>
          <w:lang w:val="hr-HR"/>
        </w:rPr>
        <w:t xml:space="preserve"> s</w:t>
      </w:r>
      <w:r>
        <w:rPr>
          <w:rFonts w:asciiTheme="minorHAnsi" w:hAnsiTheme="minorHAnsi"/>
          <w:lang w:val="hr-HR"/>
        </w:rPr>
        <w:t>e</w:t>
      </w:r>
      <w:r w:rsidR="00717097">
        <w:rPr>
          <w:rFonts w:asciiTheme="minorHAnsi" w:hAnsiTheme="minorHAnsi"/>
          <w:lang w:val="hr-HR"/>
        </w:rPr>
        <w:t xml:space="preserve"> na kontima kapitala prema MFSI 9, Finansijaki instrumenti</w:t>
      </w:r>
      <w:r>
        <w:rPr>
          <w:rFonts w:asciiTheme="minorHAnsi" w:hAnsiTheme="minorHAnsi"/>
          <w:lang w:val="hr-HR"/>
        </w:rPr>
        <w:t>.</w:t>
      </w:r>
    </w:p>
    <w:p w:rsidR="001F1236" w:rsidRDefault="001F1236" w:rsidP="0001200E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p w:rsidR="001F1236" w:rsidRDefault="001F1236" w:rsidP="0001200E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p w:rsidR="001F1236" w:rsidRDefault="001F1236" w:rsidP="0001200E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p w:rsidR="007D0DC7" w:rsidRPr="00085957" w:rsidRDefault="00C86963" w:rsidP="0001200E">
      <w:p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  <w:r w:rsidRPr="00085957">
        <w:rPr>
          <w:rFonts w:asciiTheme="minorHAnsi" w:hAnsiTheme="minorHAnsi"/>
          <w:b/>
          <w:lang w:val="hr-HR"/>
        </w:rPr>
        <w:t xml:space="preserve">NAPOMENE UZ BILANS STANJA </w:t>
      </w:r>
    </w:p>
    <w:p w:rsidR="00C86963" w:rsidRDefault="00C86963" w:rsidP="0001200E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p w:rsidR="00C86963" w:rsidRPr="00A5373E" w:rsidRDefault="00C86963" w:rsidP="00A5373E">
      <w:pPr>
        <w:pStyle w:val="ListParagraph"/>
        <w:numPr>
          <w:ilvl w:val="0"/>
          <w:numId w:val="13"/>
        </w:num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  <w:r w:rsidRPr="00A5373E">
        <w:rPr>
          <w:rFonts w:asciiTheme="minorHAnsi" w:hAnsiTheme="minorHAnsi"/>
          <w:b/>
          <w:lang w:val="hr-HR"/>
        </w:rPr>
        <w:t xml:space="preserve">Nematerijalna sredstva </w:t>
      </w:r>
    </w:p>
    <w:p w:rsidR="00C86963" w:rsidRDefault="00C86963" w:rsidP="00C86963">
      <w:pPr>
        <w:tabs>
          <w:tab w:val="left" w:pos="6510"/>
        </w:tabs>
        <w:ind w:left="360"/>
        <w:jc w:val="both"/>
        <w:rPr>
          <w:rFonts w:asciiTheme="minorHAnsi" w:hAnsiTheme="minorHAnsi"/>
          <w:b/>
          <w:lang w:val="hr-HR"/>
        </w:rPr>
      </w:pPr>
    </w:p>
    <w:p w:rsidR="00C86963" w:rsidRDefault="00C86963" w:rsidP="00C86963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 xml:space="preserve">Nematerijalna sredstva odnose se na licencu za softver obračuna neto vrijednosti </w:t>
      </w:r>
      <w:r w:rsidR="00DC6D0B">
        <w:rPr>
          <w:rFonts w:asciiTheme="minorHAnsi" w:hAnsiTheme="minorHAnsi"/>
          <w:lang w:val="hr-HR"/>
        </w:rPr>
        <w:t xml:space="preserve">imovine </w:t>
      </w:r>
      <w:r>
        <w:rPr>
          <w:rFonts w:asciiTheme="minorHAnsi" w:hAnsiTheme="minorHAnsi"/>
          <w:lang w:val="hr-HR"/>
        </w:rPr>
        <w:t>investicionih fondova kojima Društvo upravlja, kao i softver za knjiženje poslovnih prom</w:t>
      </w:r>
      <w:r w:rsidR="00C934BA">
        <w:rPr>
          <w:rFonts w:asciiTheme="minorHAnsi" w:hAnsiTheme="minorHAnsi"/>
          <w:lang w:val="hr-HR"/>
        </w:rPr>
        <w:t>j</w:t>
      </w:r>
      <w:r>
        <w:rPr>
          <w:rFonts w:asciiTheme="minorHAnsi" w:hAnsiTheme="minorHAnsi"/>
          <w:lang w:val="hr-HR"/>
        </w:rPr>
        <w:t>ena Društva</w:t>
      </w:r>
      <w:r w:rsidR="00A5373E">
        <w:rPr>
          <w:rFonts w:asciiTheme="minorHAnsi" w:hAnsiTheme="minorHAnsi"/>
          <w:lang w:val="hr-HR"/>
        </w:rPr>
        <w:t>.</w:t>
      </w:r>
    </w:p>
    <w:p w:rsidR="00A740C1" w:rsidRPr="00A740C1" w:rsidRDefault="00E86A18" w:rsidP="00A740C1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 xml:space="preserve">Amortizaciona stopa nematerijalnih sredstava je 10 % i obračunava se linearnom metodom u toku korisnog vijeka trajanja. </w:t>
      </w:r>
    </w:p>
    <w:p w:rsidR="004C6BB9" w:rsidRDefault="0097528D" w:rsidP="00C86963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>U obračunskom periodu nabavljen je program za procjenu hov u iznosu od 2.000,00 KM.</w:t>
      </w:r>
    </w:p>
    <w:p w:rsidR="00E86A18" w:rsidRDefault="00E86A18" w:rsidP="00C86963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984"/>
        <w:gridCol w:w="1984"/>
      </w:tblGrid>
      <w:tr w:rsidR="00A740C1" w:rsidRPr="00A740C1" w:rsidTr="00AC6A44">
        <w:tc>
          <w:tcPr>
            <w:tcW w:w="2660" w:type="dxa"/>
          </w:tcPr>
          <w:p w:rsidR="00A740C1" w:rsidRPr="00A740C1" w:rsidRDefault="00A740C1" w:rsidP="00A740C1">
            <w:pPr>
              <w:tabs>
                <w:tab w:val="left" w:pos="6510"/>
              </w:tabs>
              <w:jc w:val="center"/>
              <w:rPr>
                <w:rFonts w:asciiTheme="minorHAnsi" w:hAnsiTheme="minorHAnsi"/>
                <w:lang w:val="hr-HR"/>
              </w:rPr>
            </w:pPr>
            <w:r w:rsidRPr="00A740C1">
              <w:rPr>
                <w:rFonts w:asciiTheme="minorHAnsi" w:hAnsiTheme="minorHAnsi"/>
                <w:lang w:val="hr-HR"/>
              </w:rPr>
              <w:t>Naziv</w:t>
            </w:r>
          </w:p>
        </w:tc>
        <w:tc>
          <w:tcPr>
            <w:tcW w:w="2410" w:type="dxa"/>
          </w:tcPr>
          <w:p w:rsidR="00A740C1" w:rsidRPr="00A740C1" w:rsidRDefault="00A740C1" w:rsidP="00A740C1">
            <w:pPr>
              <w:tabs>
                <w:tab w:val="left" w:pos="6510"/>
              </w:tabs>
              <w:jc w:val="center"/>
              <w:rPr>
                <w:rFonts w:asciiTheme="minorHAnsi" w:hAnsiTheme="minorHAnsi"/>
                <w:lang w:val="hr-HR"/>
              </w:rPr>
            </w:pPr>
            <w:r w:rsidRPr="00A740C1">
              <w:rPr>
                <w:rFonts w:asciiTheme="minorHAnsi" w:hAnsiTheme="minorHAnsi"/>
                <w:lang w:val="hr-HR"/>
              </w:rPr>
              <w:t>Nabavna vrijednost</w:t>
            </w:r>
          </w:p>
        </w:tc>
        <w:tc>
          <w:tcPr>
            <w:tcW w:w="1984" w:type="dxa"/>
          </w:tcPr>
          <w:p w:rsidR="00A740C1" w:rsidRPr="00A740C1" w:rsidRDefault="00A740C1" w:rsidP="00A740C1">
            <w:pPr>
              <w:tabs>
                <w:tab w:val="left" w:pos="6510"/>
              </w:tabs>
              <w:jc w:val="center"/>
              <w:rPr>
                <w:rFonts w:asciiTheme="minorHAnsi" w:hAnsiTheme="minorHAnsi"/>
                <w:lang w:val="hr-HR"/>
              </w:rPr>
            </w:pPr>
            <w:r w:rsidRPr="00A740C1">
              <w:rPr>
                <w:rFonts w:asciiTheme="minorHAnsi" w:hAnsiTheme="minorHAnsi"/>
                <w:lang w:val="hr-HR"/>
              </w:rPr>
              <w:t>Ispravka vrijednosti</w:t>
            </w:r>
          </w:p>
        </w:tc>
        <w:tc>
          <w:tcPr>
            <w:tcW w:w="1984" w:type="dxa"/>
          </w:tcPr>
          <w:p w:rsidR="00A740C1" w:rsidRPr="00A740C1" w:rsidRDefault="00FD700D" w:rsidP="00A740C1">
            <w:pPr>
              <w:tabs>
                <w:tab w:val="left" w:pos="6510"/>
              </w:tabs>
              <w:jc w:val="center"/>
              <w:rPr>
                <w:rFonts w:asciiTheme="minorHAnsi" w:hAnsiTheme="minorHAnsi"/>
                <w:lang w:val="hr-HR"/>
              </w:rPr>
            </w:pPr>
            <w:r>
              <w:rPr>
                <w:rFonts w:asciiTheme="minorHAnsi" w:hAnsiTheme="minorHAnsi"/>
                <w:lang w:val="hr-HR"/>
              </w:rPr>
              <w:t>Vrijednost 31.12.2023</w:t>
            </w:r>
            <w:r w:rsidR="00A740C1" w:rsidRPr="00A740C1">
              <w:rPr>
                <w:rFonts w:asciiTheme="minorHAnsi" w:hAnsiTheme="minorHAnsi"/>
                <w:lang w:val="hr-HR"/>
              </w:rPr>
              <w:t>.</w:t>
            </w:r>
          </w:p>
        </w:tc>
      </w:tr>
      <w:tr w:rsidR="00A740C1" w:rsidRPr="00A740C1" w:rsidTr="00AC6A44">
        <w:tc>
          <w:tcPr>
            <w:tcW w:w="2660" w:type="dxa"/>
          </w:tcPr>
          <w:p w:rsidR="00A740C1" w:rsidRPr="00A740C1" w:rsidRDefault="00A740C1" w:rsidP="00A740C1">
            <w:pPr>
              <w:tabs>
                <w:tab w:val="left" w:pos="6510"/>
              </w:tabs>
              <w:rPr>
                <w:rFonts w:asciiTheme="minorHAnsi" w:hAnsiTheme="minorHAnsi"/>
                <w:lang w:val="hr-HR"/>
              </w:rPr>
            </w:pPr>
            <w:r w:rsidRPr="00A740C1">
              <w:rPr>
                <w:rFonts w:asciiTheme="minorHAnsi" w:hAnsiTheme="minorHAnsi"/>
                <w:lang w:val="hr-HR"/>
              </w:rPr>
              <w:t xml:space="preserve">Licenca za softver </w:t>
            </w:r>
          </w:p>
        </w:tc>
        <w:tc>
          <w:tcPr>
            <w:tcW w:w="2410" w:type="dxa"/>
          </w:tcPr>
          <w:p w:rsidR="00A740C1" w:rsidRPr="00A740C1" w:rsidRDefault="00A740C1" w:rsidP="004C6BB9">
            <w:pPr>
              <w:tabs>
                <w:tab w:val="left" w:pos="6510"/>
              </w:tabs>
              <w:jc w:val="right"/>
              <w:rPr>
                <w:rFonts w:asciiTheme="minorHAnsi" w:hAnsiTheme="minorHAnsi"/>
                <w:lang w:val="hr-HR"/>
              </w:rPr>
            </w:pPr>
            <w:r w:rsidRPr="00A740C1">
              <w:rPr>
                <w:rFonts w:asciiTheme="minorHAnsi" w:hAnsiTheme="minorHAnsi"/>
                <w:lang w:val="hr-HR"/>
              </w:rPr>
              <w:t>57</w:t>
            </w:r>
            <w:r>
              <w:rPr>
                <w:rFonts w:asciiTheme="minorHAnsi" w:hAnsiTheme="minorHAnsi"/>
                <w:lang w:val="hr-HR"/>
              </w:rPr>
              <w:t>.</w:t>
            </w:r>
            <w:r w:rsidRPr="00A740C1">
              <w:rPr>
                <w:rFonts w:asciiTheme="minorHAnsi" w:hAnsiTheme="minorHAnsi"/>
                <w:lang w:val="hr-HR"/>
              </w:rPr>
              <w:t>893</w:t>
            </w:r>
          </w:p>
        </w:tc>
        <w:tc>
          <w:tcPr>
            <w:tcW w:w="1984" w:type="dxa"/>
          </w:tcPr>
          <w:p w:rsidR="00A740C1" w:rsidRPr="00A740C1" w:rsidRDefault="002C34B1" w:rsidP="004C6BB9">
            <w:pPr>
              <w:tabs>
                <w:tab w:val="left" w:pos="6510"/>
              </w:tabs>
              <w:jc w:val="right"/>
              <w:rPr>
                <w:rFonts w:asciiTheme="minorHAnsi" w:hAnsiTheme="minorHAnsi"/>
                <w:lang w:val="hr-HR"/>
              </w:rPr>
            </w:pPr>
            <w:r>
              <w:rPr>
                <w:rFonts w:asciiTheme="minorHAnsi" w:hAnsiTheme="minorHAnsi"/>
                <w:lang w:val="hr-HR"/>
              </w:rPr>
              <w:t>38.687</w:t>
            </w:r>
          </w:p>
        </w:tc>
        <w:tc>
          <w:tcPr>
            <w:tcW w:w="1984" w:type="dxa"/>
          </w:tcPr>
          <w:p w:rsidR="00A740C1" w:rsidRPr="00A740C1" w:rsidRDefault="002C34B1" w:rsidP="004C6BB9">
            <w:pPr>
              <w:tabs>
                <w:tab w:val="left" w:pos="6510"/>
              </w:tabs>
              <w:jc w:val="right"/>
              <w:rPr>
                <w:rFonts w:asciiTheme="minorHAnsi" w:hAnsiTheme="minorHAnsi"/>
                <w:lang w:val="hr-HR"/>
              </w:rPr>
            </w:pPr>
            <w:r>
              <w:rPr>
                <w:rFonts w:asciiTheme="minorHAnsi" w:hAnsiTheme="minorHAnsi"/>
                <w:lang w:val="hr-HR"/>
              </w:rPr>
              <w:t>19.206</w:t>
            </w:r>
          </w:p>
        </w:tc>
      </w:tr>
      <w:tr w:rsidR="00A740C1" w:rsidRPr="00A740C1" w:rsidTr="00AC6A44">
        <w:tc>
          <w:tcPr>
            <w:tcW w:w="2660" w:type="dxa"/>
          </w:tcPr>
          <w:p w:rsidR="00A740C1" w:rsidRPr="00A740C1" w:rsidRDefault="00A740C1" w:rsidP="00A740C1">
            <w:pPr>
              <w:tabs>
                <w:tab w:val="left" w:pos="6510"/>
              </w:tabs>
              <w:rPr>
                <w:rFonts w:asciiTheme="minorHAnsi" w:hAnsiTheme="minorHAnsi"/>
                <w:lang w:val="hr-HR"/>
              </w:rPr>
            </w:pPr>
            <w:r w:rsidRPr="00A740C1">
              <w:rPr>
                <w:rFonts w:asciiTheme="minorHAnsi" w:hAnsiTheme="minorHAnsi"/>
                <w:lang w:val="hr-HR"/>
              </w:rPr>
              <w:t xml:space="preserve">Računarski programi  </w:t>
            </w:r>
          </w:p>
        </w:tc>
        <w:tc>
          <w:tcPr>
            <w:tcW w:w="2410" w:type="dxa"/>
          </w:tcPr>
          <w:p w:rsidR="00A740C1" w:rsidRPr="00A740C1" w:rsidRDefault="00A740C1" w:rsidP="004C6BB9">
            <w:pPr>
              <w:tabs>
                <w:tab w:val="left" w:pos="6510"/>
              </w:tabs>
              <w:jc w:val="right"/>
              <w:rPr>
                <w:rFonts w:asciiTheme="minorHAnsi" w:hAnsiTheme="minorHAnsi"/>
                <w:lang w:val="hr-HR"/>
              </w:rPr>
            </w:pPr>
            <w:r w:rsidRPr="00A740C1">
              <w:rPr>
                <w:rFonts w:asciiTheme="minorHAnsi" w:hAnsiTheme="minorHAnsi"/>
                <w:lang w:val="hr-HR"/>
              </w:rPr>
              <w:t>22.636</w:t>
            </w:r>
          </w:p>
        </w:tc>
        <w:tc>
          <w:tcPr>
            <w:tcW w:w="1984" w:type="dxa"/>
          </w:tcPr>
          <w:p w:rsidR="00A740C1" w:rsidRPr="00A740C1" w:rsidRDefault="00A740C1" w:rsidP="004C6BB9">
            <w:pPr>
              <w:tabs>
                <w:tab w:val="left" w:pos="6510"/>
              </w:tabs>
              <w:jc w:val="right"/>
              <w:rPr>
                <w:rFonts w:asciiTheme="minorHAnsi" w:hAnsiTheme="minorHAnsi"/>
                <w:lang w:val="hr-HR"/>
              </w:rPr>
            </w:pPr>
            <w:r w:rsidRPr="00A740C1">
              <w:rPr>
                <w:rFonts w:asciiTheme="minorHAnsi" w:hAnsiTheme="minorHAnsi"/>
                <w:lang w:val="hr-HR"/>
              </w:rPr>
              <w:t>22.636</w:t>
            </w:r>
          </w:p>
        </w:tc>
        <w:tc>
          <w:tcPr>
            <w:tcW w:w="1984" w:type="dxa"/>
          </w:tcPr>
          <w:p w:rsidR="00A740C1" w:rsidRPr="00A740C1" w:rsidRDefault="00A740C1" w:rsidP="004C6BB9">
            <w:pPr>
              <w:tabs>
                <w:tab w:val="left" w:pos="6510"/>
              </w:tabs>
              <w:jc w:val="right"/>
              <w:rPr>
                <w:rFonts w:asciiTheme="minorHAnsi" w:hAnsiTheme="minorHAnsi"/>
                <w:lang w:val="hr-HR"/>
              </w:rPr>
            </w:pPr>
            <w:r w:rsidRPr="00A740C1">
              <w:rPr>
                <w:rFonts w:asciiTheme="minorHAnsi" w:hAnsiTheme="minorHAnsi"/>
                <w:lang w:val="hr-HR"/>
              </w:rPr>
              <w:t>0</w:t>
            </w:r>
          </w:p>
        </w:tc>
      </w:tr>
      <w:tr w:rsidR="002C34B1" w:rsidRPr="00A740C1" w:rsidTr="00AC6A44">
        <w:tc>
          <w:tcPr>
            <w:tcW w:w="2660" w:type="dxa"/>
          </w:tcPr>
          <w:p w:rsidR="002C34B1" w:rsidRPr="00A740C1" w:rsidRDefault="002C34B1" w:rsidP="00A740C1">
            <w:pPr>
              <w:tabs>
                <w:tab w:val="left" w:pos="6510"/>
              </w:tabs>
              <w:rPr>
                <w:rFonts w:asciiTheme="minorHAnsi" w:hAnsiTheme="minorHAnsi"/>
                <w:lang w:val="hr-HR"/>
              </w:rPr>
            </w:pPr>
            <w:r>
              <w:rPr>
                <w:rFonts w:asciiTheme="minorHAnsi" w:hAnsiTheme="minorHAnsi"/>
                <w:lang w:val="hr-HR"/>
              </w:rPr>
              <w:t xml:space="preserve">Alat za procjene </w:t>
            </w:r>
          </w:p>
        </w:tc>
        <w:tc>
          <w:tcPr>
            <w:tcW w:w="2410" w:type="dxa"/>
          </w:tcPr>
          <w:p w:rsidR="002C34B1" w:rsidRPr="00A740C1" w:rsidRDefault="002C34B1" w:rsidP="004C6BB9">
            <w:pPr>
              <w:tabs>
                <w:tab w:val="left" w:pos="6510"/>
              </w:tabs>
              <w:jc w:val="right"/>
              <w:rPr>
                <w:rFonts w:asciiTheme="minorHAnsi" w:hAnsiTheme="minorHAnsi"/>
                <w:lang w:val="hr-HR"/>
              </w:rPr>
            </w:pPr>
            <w:r>
              <w:rPr>
                <w:rFonts w:asciiTheme="minorHAnsi" w:hAnsiTheme="minorHAnsi"/>
                <w:lang w:val="hr-HR"/>
              </w:rPr>
              <w:t>2.000</w:t>
            </w:r>
          </w:p>
        </w:tc>
        <w:tc>
          <w:tcPr>
            <w:tcW w:w="1984" w:type="dxa"/>
          </w:tcPr>
          <w:p w:rsidR="002C34B1" w:rsidRPr="00A740C1" w:rsidRDefault="002C34B1" w:rsidP="004C6BB9">
            <w:pPr>
              <w:tabs>
                <w:tab w:val="left" w:pos="6510"/>
              </w:tabs>
              <w:jc w:val="right"/>
              <w:rPr>
                <w:rFonts w:asciiTheme="minorHAnsi" w:hAnsiTheme="minorHAnsi"/>
                <w:lang w:val="hr-HR"/>
              </w:rPr>
            </w:pPr>
            <w:r>
              <w:rPr>
                <w:rFonts w:asciiTheme="minorHAnsi" w:hAnsiTheme="minorHAnsi"/>
                <w:lang w:val="hr-HR"/>
              </w:rPr>
              <w:t>150</w:t>
            </w:r>
          </w:p>
        </w:tc>
        <w:tc>
          <w:tcPr>
            <w:tcW w:w="1984" w:type="dxa"/>
          </w:tcPr>
          <w:p w:rsidR="002C34B1" w:rsidRPr="00A740C1" w:rsidRDefault="002C34B1" w:rsidP="004C6BB9">
            <w:pPr>
              <w:tabs>
                <w:tab w:val="left" w:pos="6510"/>
              </w:tabs>
              <w:jc w:val="right"/>
              <w:rPr>
                <w:rFonts w:asciiTheme="minorHAnsi" w:hAnsiTheme="minorHAnsi"/>
                <w:lang w:val="hr-HR"/>
              </w:rPr>
            </w:pPr>
            <w:r>
              <w:rPr>
                <w:rFonts w:asciiTheme="minorHAnsi" w:hAnsiTheme="minorHAnsi"/>
                <w:lang w:val="hr-HR"/>
              </w:rPr>
              <w:t>1.850</w:t>
            </w:r>
          </w:p>
        </w:tc>
      </w:tr>
      <w:tr w:rsidR="00A740C1" w:rsidRPr="00A740C1" w:rsidTr="00AC6A44">
        <w:tc>
          <w:tcPr>
            <w:tcW w:w="2660" w:type="dxa"/>
          </w:tcPr>
          <w:p w:rsidR="00A740C1" w:rsidRDefault="00A740C1" w:rsidP="00A740C1">
            <w:pPr>
              <w:tabs>
                <w:tab w:val="left" w:pos="6510"/>
              </w:tabs>
              <w:rPr>
                <w:rFonts w:asciiTheme="minorHAnsi" w:hAnsiTheme="minorHAnsi"/>
                <w:highlight w:val="yellow"/>
                <w:lang w:val="hr-HR"/>
              </w:rPr>
            </w:pPr>
            <w:r w:rsidRPr="00A740C1">
              <w:rPr>
                <w:rFonts w:asciiTheme="minorHAnsi" w:hAnsiTheme="minorHAnsi"/>
                <w:lang w:val="hr-HR"/>
              </w:rPr>
              <w:t>Ukupno</w:t>
            </w:r>
            <w:r>
              <w:rPr>
                <w:rFonts w:asciiTheme="minorHAnsi" w:hAnsiTheme="minorHAnsi"/>
                <w:highlight w:val="yellow"/>
                <w:lang w:val="hr-HR"/>
              </w:rPr>
              <w:t xml:space="preserve"> </w:t>
            </w:r>
          </w:p>
        </w:tc>
        <w:tc>
          <w:tcPr>
            <w:tcW w:w="2410" w:type="dxa"/>
          </w:tcPr>
          <w:p w:rsidR="00A740C1" w:rsidRPr="00A740C1" w:rsidRDefault="002C34B1" w:rsidP="004C6BB9">
            <w:pPr>
              <w:tabs>
                <w:tab w:val="left" w:pos="6510"/>
              </w:tabs>
              <w:jc w:val="right"/>
              <w:rPr>
                <w:rFonts w:asciiTheme="minorHAnsi" w:hAnsiTheme="minorHAnsi"/>
                <w:lang w:val="hr-HR"/>
              </w:rPr>
            </w:pPr>
            <w:r>
              <w:rPr>
                <w:rFonts w:asciiTheme="minorHAnsi" w:hAnsiTheme="minorHAnsi"/>
                <w:lang w:val="hr-HR"/>
              </w:rPr>
              <w:t>82</w:t>
            </w:r>
            <w:r w:rsidR="00A740C1" w:rsidRPr="00A740C1">
              <w:rPr>
                <w:rFonts w:asciiTheme="minorHAnsi" w:hAnsiTheme="minorHAnsi"/>
                <w:lang w:val="hr-HR"/>
              </w:rPr>
              <w:t>.529</w:t>
            </w:r>
          </w:p>
        </w:tc>
        <w:tc>
          <w:tcPr>
            <w:tcW w:w="1984" w:type="dxa"/>
          </w:tcPr>
          <w:p w:rsidR="00A740C1" w:rsidRPr="00A740C1" w:rsidRDefault="002C34B1" w:rsidP="004C6BB9">
            <w:pPr>
              <w:tabs>
                <w:tab w:val="left" w:pos="6510"/>
              </w:tabs>
              <w:jc w:val="right"/>
              <w:rPr>
                <w:rFonts w:asciiTheme="minorHAnsi" w:hAnsiTheme="minorHAnsi"/>
                <w:lang w:val="hr-HR"/>
              </w:rPr>
            </w:pPr>
            <w:r>
              <w:rPr>
                <w:rFonts w:asciiTheme="minorHAnsi" w:hAnsiTheme="minorHAnsi"/>
                <w:lang w:val="hr-HR"/>
              </w:rPr>
              <w:t>61.473</w:t>
            </w:r>
          </w:p>
        </w:tc>
        <w:tc>
          <w:tcPr>
            <w:tcW w:w="1984" w:type="dxa"/>
          </w:tcPr>
          <w:p w:rsidR="00A740C1" w:rsidRPr="00A740C1" w:rsidRDefault="002C34B1" w:rsidP="004C6BB9">
            <w:pPr>
              <w:tabs>
                <w:tab w:val="left" w:pos="6510"/>
              </w:tabs>
              <w:jc w:val="right"/>
              <w:rPr>
                <w:rFonts w:asciiTheme="minorHAnsi" w:hAnsiTheme="minorHAnsi"/>
                <w:lang w:val="hr-HR"/>
              </w:rPr>
            </w:pPr>
            <w:r>
              <w:rPr>
                <w:rFonts w:asciiTheme="minorHAnsi" w:hAnsiTheme="minorHAnsi"/>
                <w:lang w:val="hr-HR"/>
              </w:rPr>
              <w:t>21.056</w:t>
            </w:r>
          </w:p>
        </w:tc>
      </w:tr>
    </w:tbl>
    <w:p w:rsidR="00A740C1" w:rsidRDefault="00A740C1" w:rsidP="00C86963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p w:rsidR="00715BE4" w:rsidRDefault="00715BE4" w:rsidP="00C86963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p w:rsidR="00A5373E" w:rsidRPr="00A5373E" w:rsidRDefault="00A5373E" w:rsidP="00A5373E">
      <w:pPr>
        <w:pStyle w:val="ListParagraph"/>
        <w:numPr>
          <w:ilvl w:val="0"/>
          <w:numId w:val="13"/>
        </w:num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  <w:r>
        <w:rPr>
          <w:rFonts w:asciiTheme="minorHAnsi" w:hAnsiTheme="minorHAnsi"/>
          <w:b/>
          <w:lang w:val="hr-HR"/>
        </w:rPr>
        <w:t xml:space="preserve">Nekretnine postrojenja i oprema </w:t>
      </w:r>
    </w:p>
    <w:p w:rsidR="00A5373E" w:rsidRDefault="00A5373E" w:rsidP="00C86963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tbl>
      <w:tblPr>
        <w:tblW w:w="8320" w:type="dxa"/>
        <w:tblInd w:w="93" w:type="dxa"/>
        <w:tblLook w:val="04A0" w:firstRow="1" w:lastRow="0" w:firstColumn="1" w:lastColumn="0" w:noHBand="0" w:noVBand="1"/>
      </w:tblPr>
      <w:tblGrid>
        <w:gridCol w:w="2220"/>
        <w:gridCol w:w="1720"/>
        <w:gridCol w:w="1760"/>
        <w:gridCol w:w="1540"/>
        <w:gridCol w:w="1080"/>
      </w:tblGrid>
      <w:tr w:rsidR="00807D5B" w:rsidRPr="00807D5B" w:rsidTr="00807D5B">
        <w:trPr>
          <w:trHeight w:val="1200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5B" w:rsidRPr="00807D5B" w:rsidRDefault="00807D5B" w:rsidP="00807D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Opis</w:t>
            </w:r>
            <w:proofErr w:type="spell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5B" w:rsidRPr="00807D5B" w:rsidRDefault="00807D5B" w:rsidP="00807D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Građevinski</w:t>
            </w:r>
            <w:proofErr w:type="spellEnd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objekat</w:t>
            </w:r>
            <w:proofErr w:type="spellEnd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5B" w:rsidRPr="00807D5B" w:rsidRDefault="00807D5B" w:rsidP="00807D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Postrojenja</w:t>
            </w:r>
            <w:proofErr w:type="spellEnd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  <w:proofErr w:type="spellEnd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oprema</w:t>
            </w:r>
            <w:proofErr w:type="spellEnd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5B" w:rsidRPr="00807D5B" w:rsidRDefault="00807D5B" w:rsidP="00807D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Avansi</w:t>
            </w:r>
            <w:proofErr w:type="spellEnd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za</w:t>
            </w:r>
            <w:proofErr w:type="spellEnd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nekretnine</w:t>
            </w:r>
            <w:proofErr w:type="spellEnd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postrojenja</w:t>
            </w:r>
            <w:proofErr w:type="spellEnd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  <w:proofErr w:type="spellEnd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opremu</w:t>
            </w:r>
            <w:proofErr w:type="spellEnd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5B" w:rsidRPr="00807D5B" w:rsidRDefault="00807D5B" w:rsidP="00807D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Ukupno</w:t>
            </w:r>
            <w:proofErr w:type="spellEnd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807D5B" w:rsidRPr="00807D5B" w:rsidTr="00807D5B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7D5B" w:rsidRPr="00807D5B" w:rsidRDefault="00807D5B" w:rsidP="00807D5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07D5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Nabavna</w:t>
            </w:r>
            <w:proofErr w:type="spellEnd"/>
            <w:r w:rsidRPr="00807D5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7D5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vrijednost</w:t>
            </w:r>
            <w:proofErr w:type="spellEnd"/>
            <w:r w:rsidRPr="00807D5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7D5B" w:rsidRPr="00807D5B" w:rsidRDefault="00807D5B" w:rsidP="00807D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7D5B" w:rsidRPr="00807D5B" w:rsidRDefault="00807D5B" w:rsidP="00807D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7D5B" w:rsidRPr="00807D5B" w:rsidRDefault="00807D5B" w:rsidP="00807D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D5B" w:rsidRPr="00807D5B" w:rsidRDefault="00807D5B" w:rsidP="00807D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07D5B" w:rsidRPr="00807D5B" w:rsidTr="00807D5B">
        <w:trPr>
          <w:trHeight w:val="6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5B" w:rsidRPr="00807D5B" w:rsidRDefault="002C34B1" w:rsidP="00807D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Stanje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dan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01.01.2024</w:t>
            </w:r>
            <w:r w:rsidR="00807D5B"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807D5B" w:rsidRDefault="00807D5B" w:rsidP="00807D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627.327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807D5B" w:rsidRDefault="002C34B1" w:rsidP="00807D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250.74</w:t>
            </w:r>
            <w:r w:rsidR="007D6A5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807D5B" w:rsidRDefault="00807D5B" w:rsidP="00807D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807D5B" w:rsidRDefault="002C34B1" w:rsidP="00807D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878.069</w:t>
            </w:r>
          </w:p>
        </w:tc>
      </w:tr>
      <w:tr w:rsidR="00807D5B" w:rsidRPr="00807D5B" w:rsidTr="00807D5B">
        <w:trPr>
          <w:trHeight w:val="6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5B" w:rsidRPr="00807D5B" w:rsidRDefault="00807D5B" w:rsidP="00807D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Nabavke</w:t>
            </w:r>
            <w:proofErr w:type="spellEnd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u </w:t>
            </w:r>
            <w:proofErr w:type="spellStart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toku</w:t>
            </w:r>
            <w:proofErr w:type="spellEnd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godine</w:t>
            </w:r>
            <w:proofErr w:type="spellEnd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807D5B" w:rsidRDefault="00807D5B" w:rsidP="00807D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807D5B" w:rsidRDefault="005F22A7" w:rsidP="00807D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61.118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807D5B" w:rsidRDefault="00807D5B" w:rsidP="00807D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495881" w:rsidRDefault="00495881" w:rsidP="00807D5B">
            <w:pPr>
              <w:jc w:val="right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61.118</w:t>
            </w:r>
          </w:p>
        </w:tc>
      </w:tr>
      <w:tr w:rsidR="00807D5B" w:rsidRPr="00807D5B" w:rsidTr="00807D5B">
        <w:trPr>
          <w:trHeight w:val="6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5B" w:rsidRPr="00807D5B" w:rsidRDefault="00807D5B" w:rsidP="00807D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Prodaja</w:t>
            </w:r>
            <w:proofErr w:type="spellEnd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otuđenje</w:t>
            </w:r>
            <w:proofErr w:type="spellEnd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rashodovanje</w:t>
            </w:r>
            <w:proofErr w:type="spellEnd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807D5B" w:rsidRDefault="00807D5B" w:rsidP="00715BE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715BE4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807D5B" w:rsidRDefault="00695095" w:rsidP="00807D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807D5B" w:rsidRDefault="00807D5B" w:rsidP="00807D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495881" w:rsidRDefault="00695095" w:rsidP="00807D5B">
            <w:pPr>
              <w:jc w:val="right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495881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46.000</w:t>
            </w:r>
          </w:p>
        </w:tc>
      </w:tr>
      <w:tr w:rsidR="00807D5B" w:rsidRPr="00807D5B" w:rsidTr="00715BE4">
        <w:trPr>
          <w:trHeight w:val="6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5B" w:rsidRPr="00807D5B" w:rsidRDefault="007D6A52" w:rsidP="00807D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Stanje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dan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31.12.2023</w:t>
            </w:r>
            <w:r w:rsidR="00807D5B"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807D5B" w:rsidRDefault="00807D5B" w:rsidP="00807D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627.327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807D5B" w:rsidRDefault="00695095" w:rsidP="00807D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265</w:t>
            </w:r>
            <w:r w:rsidR="005F22A7">
              <w:rPr>
                <w:rFonts w:ascii="Calibri" w:hAnsi="Calibri" w:cs="Calibri"/>
                <w:color w:val="000000"/>
                <w:sz w:val="22"/>
                <w:szCs w:val="22"/>
              </w:rPr>
              <w:t>.860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807D5B" w:rsidRDefault="00807D5B" w:rsidP="00807D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807D5B" w:rsidRDefault="00495881" w:rsidP="00807D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893.187</w:t>
            </w:r>
          </w:p>
        </w:tc>
      </w:tr>
      <w:tr w:rsidR="00807D5B" w:rsidRPr="00807D5B" w:rsidTr="00715BE4">
        <w:trPr>
          <w:trHeight w:val="300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5B" w:rsidRPr="00807D5B" w:rsidRDefault="00807D5B" w:rsidP="00807D5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07D5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Ispravka</w:t>
            </w:r>
            <w:proofErr w:type="spellEnd"/>
            <w:r w:rsidRPr="00807D5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7D5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vrijednosti</w:t>
            </w:r>
            <w:proofErr w:type="spellEnd"/>
            <w:r w:rsidRPr="00807D5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807D5B" w:rsidRDefault="00807D5B" w:rsidP="00807D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807D5B" w:rsidRDefault="00807D5B" w:rsidP="00807D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807D5B" w:rsidRDefault="00807D5B" w:rsidP="00807D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807D5B" w:rsidRDefault="00807D5B" w:rsidP="00807D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07D5B" w:rsidRPr="00807D5B" w:rsidTr="00C934BA">
        <w:trPr>
          <w:trHeight w:val="600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5B" w:rsidRPr="00807D5B" w:rsidRDefault="005F22A7" w:rsidP="00807D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Stanje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dan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01.01.2024</w:t>
            </w:r>
            <w:r w:rsidR="00807D5B"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207B1E" w:rsidRDefault="005F22A7" w:rsidP="00807D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200.320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715BE4" w:rsidRDefault="00695095" w:rsidP="00807D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238.565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E77241" w:rsidRDefault="00807D5B" w:rsidP="00807D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72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E77241" w:rsidRDefault="00695095" w:rsidP="00807D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438.885</w:t>
            </w:r>
          </w:p>
        </w:tc>
      </w:tr>
      <w:tr w:rsidR="00807D5B" w:rsidRPr="00807D5B" w:rsidTr="00C934BA">
        <w:trPr>
          <w:trHeight w:val="600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5B" w:rsidRPr="00807D5B" w:rsidRDefault="00807D5B" w:rsidP="00807D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Amortizacija</w:t>
            </w:r>
            <w:proofErr w:type="spellEnd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za</w:t>
            </w:r>
            <w:proofErr w:type="spellEnd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tekuću</w:t>
            </w:r>
            <w:proofErr w:type="spellEnd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godinu</w:t>
            </w:r>
            <w:proofErr w:type="spell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207B1E" w:rsidRDefault="00807D5B" w:rsidP="00807D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7B1E">
              <w:rPr>
                <w:rFonts w:ascii="Calibri" w:hAnsi="Calibri" w:cs="Calibri"/>
                <w:color w:val="000000"/>
                <w:sz w:val="22"/>
                <w:szCs w:val="22"/>
              </w:rPr>
              <w:t>18.820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E77241" w:rsidRDefault="00695095" w:rsidP="006D08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16.503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E77241" w:rsidRDefault="00807D5B" w:rsidP="00807D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72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E77241" w:rsidRDefault="00695095" w:rsidP="00807D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35.323</w:t>
            </w:r>
          </w:p>
        </w:tc>
      </w:tr>
      <w:tr w:rsidR="00807D5B" w:rsidRPr="00807D5B" w:rsidTr="00807D5B">
        <w:trPr>
          <w:trHeight w:val="6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5B" w:rsidRPr="00807D5B" w:rsidRDefault="00807D5B" w:rsidP="00807D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Otuđenje</w:t>
            </w:r>
            <w:proofErr w:type="spellEnd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  <w:proofErr w:type="spellEnd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rashodovanje</w:t>
            </w:r>
            <w:proofErr w:type="spellEnd"/>
            <w:r w:rsidRPr="00807D5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207B1E" w:rsidRDefault="00807D5B" w:rsidP="00807D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7B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E77241" w:rsidRDefault="00695095" w:rsidP="00807D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46.000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E77241" w:rsidRDefault="00807D5B" w:rsidP="00807D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72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E77241" w:rsidRDefault="00695095" w:rsidP="00807D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46.000</w:t>
            </w:r>
          </w:p>
        </w:tc>
      </w:tr>
      <w:tr w:rsidR="00807D5B" w:rsidRPr="00807D5B" w:rsidTr="00807D5B">
        <w:trPr>
          <w:trHeight w:val="6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5B" w:rsidRPr="00807D5B" w:rsidRDefault="001621C9" w:rsidP="00807D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Stanje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dan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31.12.2024</w:t>
            </w:r>
            <w:r w:rsidR="00807D5B"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207B1E" w:rsidRDefault="005F22A7" w:rsidP="00807D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219.140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E77241" w:rsidRDefault="00695095" w:rsidP="006D08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209.068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E77241" w:rsidRDefault="00807D5B" w:rsidP="00807D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72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E77241" w:rsidRDefault="00695095" w:rsidP="00807D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428.208</w:t>
            </w:r>
          </w:p>
        </w:tc>
      </w:tr>
      <w:tr w:rsidR="00807D5B" w:rsidRPr="00807D5B" w:rsidTr="00807D5B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7D5B" w:rsidRPr="00807D5B" w:rsidRDefault="00807D5B" w:rsidP="00807D5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07D5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Neto</w:t>
            </w:r>
            <w:proofErr w:type="spellEnd"/>
            <w:r w:rsidRPr="00807D5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sad. </w:t>
            </w:r>
            <w:proofErr w:type="spellStart"/>
            <w:r w:rsidRPr="00807D5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vrijednost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7D5B" w:rsidRPr="00207B1E" w:rsidRDefault="00807D5B" w:rsidP="00807D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7B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7D5B" w:rsidRPr="00E77241" w:rsidRDefault="00807D5B" w:rsidP="00807D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72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7D5B" w:rsidRPr="00E77241" w:rsidRDefault="00807D5B" w:rsidP="00807D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72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E77241" w:rsidRDefault="00807D5B" w:rsidP="00807D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72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07D5B" w:rsidRPr="00807D5B" w:rsidTr="00807D5B">
        <w:trPr>
          <w:trHeight w:val="6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5B" w:rsidRPr="00807D5B" w:rsidRDefault="002C34B1" w:rsidP="00807D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Sadašnja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vrijednost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31.12.2024</w:t>
            </w:r>
            <w:r w:rsidR="00807D5B"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207B1E" w:rsidRDefault="005F22A7" w:rsidP="00807D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408.187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E77241" w:rsidRDefault="00695095" w:rsidP="00807D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56.792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E77241" w:rsidRDefault="00807D5B" w:rsidP="00807D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72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11" w:rsidRPr="00E77241" w:rsidRDefault="00695095" w:rsidP="006D08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464.979</w:t>
            </w:r>
          </w:p>
        </w:tc>
      </w:tr>
      <w:tr w:rsidR="00807D5B" w:rsidRPr="00807D5B" w:rsidTr="00807D5B">
        <w:trPr>
          <w:trHeight w:val="6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5B" w:rsidRPr="00807D5B" w:rsidRDefault="002C34B1" w:rsidP="00807D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Sadašnja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vrijednost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31.12.2023</w:t>
            </w:r>
            <w:r w:rsidR="00807D5B" w:rsidRPr="00807D5B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207B1E" w:rsidRDefault="002C34B1" w:rsidP="00807D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427.007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E77241" w:rsidRDefault="002C34B1" w:rsidP="00807D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12.177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E77241" w:rsidRDefault="00807D5B" w:rsidP="00807D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72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5B" w:rsidRPr="00E77241" w:rsidRDefault="002C34B1" w:rsidP="00807D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439.184</w:t>
            </w:r>
          </w:p>
        </w:tc>
      </w:tr>
    </w:tbl>
    <w:p w:rsidR="0089201A" w:rsidRDefault="0089201A" w:rsidP="00C86963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p w:rsidR="00A5373E" w:rsidRDefault="00E86A18" w:rsidP="00A5373E">
      <w:p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  <w:r>
        <w:rPr>
          <w:rFonts w:asciiTheme="minorHAnsi" w:hAnsiTheme="minorHAnsi"/>
          <w:lang w:val="hr-HR"/>
        </w:rPr>
        <w:t>Amortizaciona stopa građevinskog objekta u toku korisnog vijeka trajanja iznosi 3 % i obračunava se linearnom metodom.</w:t>
      </w:r>
    </w:p>
    <w:p w:rsidR="00A5373E" w:rsidRDefault="0097528D" w:rsidP="00C86963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 xml:space="preserve">Nove nabavke u iznosu od 61.118,00 KM odnose se na kupovinu automobila i dva računara. </w:t>
      </w:r>
    </w:p>
    <w:p w:rsidR="00713771" w:rsidRDefault="00713771" w:rsidP="0001200E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p w:rsidR="0097528D" w:rsidRDefault="0097528D" w:rsidP="0001200E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p w:rsidR="0097528D" w:rsidRDefault="0097528D" w:rsidP="0001200E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p w:rsidR="00BB69AE" w:rsidRDefault="00E05798" w:rsidP="006858C7">
      <w:pPr>
        <w:pStyle w:val="ListParagraph"/>
        <w:numPr>
          <w:ilvl w:val="0"/>
          <w:numId w:val="13"/>
        </w:num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  <w:r>
        <w:rPr>
          <w:rFonts w:asciiTheme="minorHAnsi" w:hAnsiTheme="minorHAnsi"/>
          <w:b/>
          <w:lang w:val="hr-HR"/>
        </w:rPr>
        <w:t>Stanje portfelja 31.12.2024</w:t>
      </w:r>
      <w:r w:rsidR="00316BDA" w:rsidRPr="006858C7">
        <w:rPr>
          <w:rFonts w:asciiTheme="minorHAnsi" w:hAnsiTheme="minorHAnsi"/>
          <w:b/>
          <w:lang w:val="hr-HR"/>
        </w:rPr>
        <w:t>.</w:t>
      </w:r>
      <w:r w:rsidR="00F035D1" w:rsidRPr="006858C7">
        <w:rPr>
          <w:rFonts w:asciiTheme="minorHAnsi" w:hAnsiTheme="minorHAnsi"/>
          <w:b/>
          <w:lang w:val="hr-HR"/>
        </w:rPr>
        <w:t xml:space="preserve"> </w:t>
      </w:r>
    </w:p>
    <w:p w:rsidR="00D93226" w:rsidRDefault="00D93226" w:rsidP="00D93226">
      <w:p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</w:p>
    <w:p w:rsidR="00D93226" w:rsidRDefault="00D93226" w:rsidP="00D93226">
      <w:p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</w:p>
    <w:tbl>
      <w:tblPr>
        <w:tblW w:w="10120" w:type="dxa"/>
        <w:tblInd w:w="103" w:type="dxa"/>
        <w:tblLook w:val="04A0" w:firstRow="1" w:lastRow="0" w:firstColumn="1" w:lastColumn="0" w:noHBand="0" w:noVBand="1"/>
      </w:tblPr>
      <w:tblGrid>
        <w:gridCol w:w="1254"/>
        <w:gridCol w:w="2583"/>
        <w:gridCol w:w="1643"/>
        <w:gridCol w:w="941"/>
        <w:gridCol w:w="940"/>
        <w:gridCol w:w="1641"/>
        <w:gridCol w:w="1709"/>
      </w:tblGrid>
      <w:tr w:rsidR="00D93226" w:rsidRPr="00D93226" w:rsidTr="00D93226">
        <w:trPr>
          <w:trHeight w:val="900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226" w:rsidRPr="00D93226" w:rsidRDefault="00D93226" w:rsidP="00D9322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Oznaka</w:t>
            </w:r>
            <w:proofErr w:type="spellEnd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HOV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226" w:rsidRPr="00D93226" w:rsidRDefault="00D93226" w:rsidP="00D9322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Naziv</w:t>
            </w:r>
            <w:proofErr w:type="spellEnd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emitenta</w:t>
            </w:r>
            <w:proofErr w:type="spellEnd"/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226" w:rsidRPr="00D93226" w:rsidRDefault="00D93226" w:rsidP="00D9322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Nabavna</w:t>
            </w:r>
            <w:proofErr w:type="spellEnd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vrijednost</w:t>
            </w:r>
            <w:proofErr w:type="spellEnd"/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226" w:rsidRPr="00D93226" w:rsidRDefault="00D93226" w:rsidP="00D9322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Količina</w:t>
            </w:r>
            <w:proofErr w:type="spellEnd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226" w:rsidRPr="00D93226" w:rsidRDefault="00D93226" w:rsidP="00D9322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Cijena</w:t>
            </w:r>
            <w:proofErr w:type="spellEnd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226" w:rsidRPr="00D93226" w:rsidRDefault="00D93226" w:rsidP="00D9322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Vrijednost</w:t>
            </w:r>
            <w:proofErr w:type="spellEnd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226" w:rsidRPr="00D93226" w:rsidRDefault="00D93226" w:rsidP="00D9322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NDG</w:t>
            </w:r>
          </w:p>
        </w:tc>
      </w:tr>
      <w:tr w:rsidR="00D93226" w:rsidRPr="00D93226" w:rsidTr="00D93226">
        <w:trPr>
          <w:trHeight w:val="315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226" w:rsidRPr="00D93226" w:rsidRDefault="00D93226" w:rsidP="00D9322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226" w:rsidRPr="00D93226" w:rsidRDefault="00D93226" w:rsidP="00D9322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3226" w:rsidRPr="00D93226" w:rsidRDefault="00D93226" w:rsidP="00D9322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31.12.2024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3226" w:rsidRPr="00D93226" w:rsidRDefault="00D93226" w:rsidP="00D9322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3226" w:rsidRPr="00D93226" w:rsidRDefault="00D93226" w:rsidP="00D9322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3226" w:rsidRPr="00D93226" w:rsidRDefault="00D93226" w:rsidP="00D9322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226" w:rsidRPr="00D93226" w:rsidRDefault="00D93226" w:rsidP="00D9322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D93226" w:rsidRPr="00D93226" w:rsidTr="00D93226">
        <w:trPr>
          <w:trHeight w:val="315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226" w:rsidRPr="00D93226" w:rsidRDefault="00D93226" w:rsidP="00D9322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3226" w:rsidRPr="00D93226" w:rsidRDefault="00D93226" w:rsidP="00D9322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226" w:rsidRPr="00D93226" w:rsidRDefault="00D93226" w:rsidP="00D9322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226" w:rsidRPr="00D93226" w:rsidRDefault="00D93226" w:rsidP="00D9322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226" w:rsidRPr="00D93226" w:rsidRDefault="00D93226" w:rsidP="00D9322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226" w:rsidRPr="00D93226" w:rsidRDefault="00D93226" w:rsidP="00D9322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226" w:rsidRPr="00D93226" w:rsidRDefault="00D93226" w:rsidP="00D9322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16</w:t>
            </w:r>
          </w:p>
        </w:tc>
      </w:tr>
      <w:tr w:rsidR="00D93226" w:rsidRPr="00D93226" w:rsidTr="00D93226">
        <w:trPr>
          <w:trHeight w:val="315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 xml:space="preserve">EKBL-R-A </w:t>
            </w: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Elektrokrajina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ad, Banja Luka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1.832,70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14.196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0,1400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1.987,44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154,74</w:t>
            </w:r>
          </w:p>
        </w:tc>
      </w:tr>
      <w:tr w:rsidR="00D93226" w:rsidRPr="00D93226" w:rsidTr="00D93226">
        <w:trPr>
          <w:trHeight w:val="57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 xml:space="preserve">ELBJ-R-A 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Elektro-bijeljina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ad , 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Bijeljina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426,70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3.400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0,3700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1.258,00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831,30</w:t>
            </w:r>
          </w:p>
        </w:tc>
      </w:tr>
      <w:tr w:rsidR="00D93226" w:rsidRPr="00D93226" w:rsidTr="00D93226">
        <w:trPr>
          <w:trHeight w:val="694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 xml:space="preserve">ELDO-R-A 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Elektro-doboj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ad , 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Doboj</w:t>
            </w:r>
            <w:proofErr w:type="spellEnd"/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4.416,45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8.599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1,3500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11.608,65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7.192,20</w:t>
            </w:r>
          </w:p>
        </w:tc>
      </w:tr>
      <w:tr w:rsidR="00D93226" w:rsidRPr="00D93226" w:rsidTr="00D93226">
        <w:trPr>
          <w:trHeight w:val="694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HEDR-R-A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 xml:space="preserve">HE 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na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Drini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 ad, 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Višegrad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104.582,87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329.645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0,3380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111.420,01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6.837,14</w:t>
            </w:r>
          </w:p>
        </w:tc>
      </w:tr>
      <w:tr w:rsidR="00D93226" w:rsidRPr="00D93226" w:rsidTr="00D93226">
        <w:trPr>
          <w:trHeight w:val="822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HELV-R-A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 xml:space="preserve">HE 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na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Vrbasu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ad, 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M.Grad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55.910,87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183.676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0,3980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73.103,05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17.192,18</w:t>
            </w:r>
          </w:p>
        </w:tc>
      </w:tr>
      <w:tr w:rsidR="00D93226" w:rsidRPr="00D93226" w:rsidTr="00D93226">
        <w:trPr>
          <w:trHeight w:val="672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 xml:space="preserve">HETR-R-A 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 xml:space="preserve">HE 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na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Trebišnjici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ad, 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Tebinje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95.087,43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341.745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0,4000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136.698,00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41.610,57</w:t>
            </w:r>
          </w:p>
        </w:tc>
      </w:tr>
      <w:tr w:rsidR="00D93226" w:rsidRPr="00D93226" w:rsidTr="00D93226">
        <w:trPr>
          <w:trHeight w:val="585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 xml:space="preserve">LJUB-R-A 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 xml:space="preserve">RŽR 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Ljubija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, 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Prijedor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48.378,65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62.387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0,6400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39.927,68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-8.450,97</w:t>
            </w:r>
          </w:p>
        </w:tc>
      </w:tr>
      <w:tr w:rsidR="00D93226" w:rsidRPr="00D93226" w:rsidTr="00D93226">
        <w:trPr>
          <w:trHeight w:val="6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 xml:space="preserve">MATE-R-A 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Matex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ad, Banja Luka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0,00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0,0000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0,00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0,00</w:t>
            </w:r>
          </w:p>
        </w:tc>
      </w:tr>
      <w:tr w:rsidR="00D93226" w:rsidRPr="00D93226" w:rsidTr="00D93226">
        <w:trPr>
          <w:trHeight w:val="6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POST-R-A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 xml:space="preserve">Poste 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Srpske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ad, Banja Luka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0,00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0,0000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0,00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0,00</w:t>
            </w:r>
          </w:p>
        </w:tc>
      </w:tr>
      <w:tr w:rsidR="00D93226" w:rsidRPr="00D93226" w:rsidTr="00D93226">
        <w:trPr>
          <w:trHeight w:val="57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lastRenderedPageBreak/>
              <w:t>PZBL-R-A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Poslovna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zona ad, Banja Luka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2.908,10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77.343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0,0330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2.552,32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-355,78</w:t>
            </w:r>
          </w:p>
        </w:tc>
      </w:tr>
      <w:tr w:rsidR="00D93226" w:rsidRPr="00D93226" w:rsidTr="00D93226">
        <w:trPr>
          <w:trHeight w:val="57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 xml:space="preserve">RITE-R-A 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Rudnik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TE ad, 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Gacko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2.396,98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66.215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0,0120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794,58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-1.602,40</w:t>
            </w:r>
          </w:p>
        </w:tc>
      </w:tr>
      <w:tr w:rsidR="00D93226" w:rsidRPr="00D93226" w:rsidTr="00D93226">
        <w:trPr>
          <w:trHeight w:val="78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 xml:space="preserve">RTEU-R-A 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Rudnik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TE ad, 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Ugljevik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6.498,41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38.784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0,0140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542,98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-5.955,44</w:t>
            </w:r>
          </w:p>
        </w:tc>
      </w:tr>
      <w:tr w:rsidR="00D93226" w:rsidRPr="00D93226" w:rsidTr="00D93226">
        <w:trPr>
          <w:trHeight w:val="6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 xml:space="preserve">SNCN-R-A 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Saničani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ad, 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Prijedor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1,60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16.011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0,0000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0,00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-1,60</w:t>
            </w:r>
          </w:p>
        </w:tc>
      </w:tr>
      <w:tr w:rsidR="00D93226" w:rsidRPr="00D93226" w:rsidTr="00D93226">
        <w:trPr>
          <w:trHeight w:val="585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VDBL-R-A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Vodovod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ad, Banja Luka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171,20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1.070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0,0200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21,40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-149,80</w:t>
            </w:r>
          </w:p>
        </w:tc>
      </w:tr>
      <w:tr w:rsidR="00D93226" w:rsidRPr="00D93226" w:rsidTr="00D93226">
        <w:trPr>
          <w:trHeight w:val="555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 xml:space="preserve">VLPH-R-A 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Veleprehrana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ad, Banja Luka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0,00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0,0000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0,00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0,00</w:t>
            </w:r>
          </w:p>
        </w:tc>
      </w:tr>
      <w:tr w:rsidR="00D93226" w:rsidRPr="00D93226" w:rsidTr="00D93226">
        <w:trPr>
          <w:trHeight w:val="585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ZTR9-R-C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Žitopromet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ad, 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Brčko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156,48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335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0,8000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268,00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111,52</w:t>
            </w:r>
          </w:p>
        </w:tc>
      </w:tr>
      <w:tr w:rsidR="00D93226" w:rsidRPr="00D93226" w:rsidTr="00D93226">
        <w:trPr>
          <w:trHeight w:val="9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MTLC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Metalac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ad,Gornji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Milanovac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7.787,40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240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33,4469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8.027,26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239,86</w:t>
            </w:r>
          </w:p>
        </w:tc>
      </w:tr>
      <w:tr w:rsidR="00D93226" w:rsidRPr="00D93226" w:rsidTr="00D93226">
        <w:trPr>
          <w:trHeight w:val="615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SRPVRK1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Sarajevska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pivara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ad, Sarajevo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1.388,05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115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11,6400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1.338,60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-49,45</w:t>
            </w:r>
          </w:p>
        </w:tc>
      </w:tr>
      <w:tr w:rsidR="00D93226" w:rsidRPr="00D93226" w:rsidTr="00D93226">
        <w:trPr>
          <w:trHeight w:val="66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 xml:space="preserve">TECG 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Crnogorski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telekom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ad, Podgorica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15.043,67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5.494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4,2322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23.251,82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8.208,15</w:t>
            </w:r>
          </w:p>
        </w:tc>
      </w:tr>
      <w:tr w:rsidR="00D93226" w:rsidRPr="00D93226" w:rsidTr="00D93226">
        <w:trPr>
          <w:trHeight w:val="66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RIVP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Valamar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riviera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8.168,05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813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10,2485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8.332,07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164,02</w:t>
            </w:r>
          </w:p>
        </w:tc>
      </w:tr>
      <w:tr w:rsidR="00D93226" w:rsidRPr="00D93226" w:rsidTr="00D93226">
        <w:trPr>
          <w:trHeight w:val="66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 xml:space="preserve">LPKF 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 xml:space="preserve">Laser &amp; 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elektronik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2.356.733,94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48.750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17,4656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851.446,14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-1.505.287,80</w:t>
            </w:r>
          </w:p>
        </w:tc>
      </w:tr>
      <w:tr w:rsidR="00D93226" w:rsidRPr="00D93226" w:rsidTr="00D93226">
        <w:trPr>
          <w:trHeight w:val="66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D9322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Fer</w:t>
            </w:r>
            <w:proofErr w:type="spellEnd"/>
            <w:r w:rsidRPr="00D9322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D9322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vrijednost</w:t>
            </w:r>
            <w:proofErr w:type="spellEnd"/>
            <w:r w:rsidRPr="00D9322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D9322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ulaganja</w:t>
            </w:r>
            <w:proofErr w:type="spellEnd"/>
            <w:r w:rsidRPr="00D9322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 u </w:t>
            </w:r>
            <w:proofErr w:type="spellStart"/>
            <w:r w:rsidRPr="00D9322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akcije</w:t>
            </w:r>
            <w:proofErr w:type="spellEnd"/>
            <w:r w:rsidRPr="00D9322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D9322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    2.711.889,55   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    1.272.578,00   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-         1.439.311,56    </w:t>
            </w:r>
          </w:p>
        </w:tc>
      </w:tr>
      <w:tr w:rsidR="00D93226" w:rsidRPr="00D93226" w:rsidTr="00D93226">
        <w:trPr>
          <w:trHeight w:val="555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RSRS-O-G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REPUBLIKA SRPSKA-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izmirenje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ratne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štete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431,44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4.738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0,0989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468,59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37,15</w:t>
            </w:r>
          </w:p>
        </w:tc>
      </w:tr>
      <w:tr w:rsidR="00D93226" w:rsidRPr="00D93226" w:rsidTr="00D93226">
        <w:trPr>
          <w:trHeight w:val="615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RSRS-O-H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REPUBLIKA SRPSKA-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izmirenje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ratne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D93226">
              <w:rPr>
                <w:rFonts w:ascii="Calibri" w:hAnsi="Calibri" w:cs="Calibri"/>
                <w:sz w:val="22"/>
                <w:szCs w:val="22"/>
              </w:rPr>
              <w:t>štete</w:t>
            </w:r>
            <w:proofErr w:type="spellEnd"/>
            <w:r w:rsidRPr="00D93226">
              <w:rPr>
                <w:rFonts w:ascii="Calibri" w:hAnsi="Calibri" w:cs="Calibri"/>
                <w:sz w:val="22"/>
                <w:szCs w:val="22"/>
              </w:rPr>
              <w:t xml:space="preserve"> 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3.813,84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20.733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0,1980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4.104,72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290,88</w:t>
            </w:r>
          </w:p>
        </w:tc>
      </w:tr>
      <w:tr w:rsidR="00D93226" w:rsidRPr="00D93226" w:rsidTr="00D93226">
        <w:trPr>
          <w:trHeight w:val="57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D9322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Fer</w:t>
            </w:r>
            <w:proofErr w:type="spellEnd"/>
            <w:r w:rsidRPr="00D9322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D9322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vrijednost</w:t>
            </w:r>
            <w:proofErr w:type="spellEnd"/>
            <w:r w:rsidRPr="00D9322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D9322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ulaganja</w:t>
            </w:r>
            <w:proofErr w:type="spellEnd"/>
            <w:r w:rsidRPr="00D9322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 u </w:t>
            </w:r>
            <w:proofErr w:type="spellStart"/>
            <w:r w:rsidRPr="00D9322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obveznice</w:t>
            </w:r>
            <w:proofErr w:type="spellEnd"/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D9322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D9322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4.245,28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D9322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4.573,31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D93226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328,03</w:t>
            </w:r>
          </w:p>
        </w:tc>
      </w:tr>
      <w:tr w:rsidR="00D93226" w:rsidRPr="00D93226" w:rsidTr="00D93226">
        <w:trPr>
          <w:trHeight w:val="1185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Ukupna</w:t>
            </w:r>
            <w:proofErr w:type="spellEnd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fer</w:t>
            </w:r>
            <w:proofErr w:type="spellEnd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vrijednost</w:t>
            </w:r>
            <w:proofErr w:type="spellEnd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ulaganja</w:t>
            </w:r>
            <w:proofErr w:type="spellEnd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finansijska</w:t>
            </w:r>
            <w:proofErr w:type="spellEnd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sredstva</w:t>
            </w:r>
            <w:proofErr w:type="spellEnd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raspoloživa</w:t>
            </w:r>
            <w:proofErr w:type="spellEnd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za</w:t>
            </w:r>
            <w:proofErr w:type="spellEnd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prodaju</w:t>
            </w:r>
            <w:proofErr w:type="spellEnd"/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    2.716.134,83   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226" w:rsidRPr="00D93226" w:rsidRDefault="00D93226" w:rsidP="00D9322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9322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    1.277.151,30   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3226" w:rsidRPr="00D93226" w:rsidRDefault="00D93226" w:rsidP="00D9322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9322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-         1.438.983,53    </w:t>
            </w:r>
          </w:p>
        </w:tc>
      </w:tr>
    </w:tbl>
    <w:p w:rsidR="00FD700D" w:rsidRDefault="00FD700D" w:rsidP="0001200E">
      <w:p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</w:p>
    <w:p w:rsidR="00115E78" w:rsidRPr="00814D3C" w:rsidRDefault="00115E78" w:rsidP="0001200E">
      <w:p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</w:p>
    <w:p w:rsidR="00EE2FBE" w:rsidRPr="00814D3C" w:rsidRDefault="00EE2FBE" w:rsidP="0001200E">
      <w:pPr>
        <w:jc w:val="both"/>
        <w:rPr>
          <w:rFonts w:asciiTheme="minorHAnsi" w:hAnsiTheme="minorHAnsi"/>
          <w:b/>
          <w:lang w:val="hr-HR"/>
        </w:rPr>
      </w:pPr>
    </w:p>
    <w:p w:rsidR="00657ED3" w:rsidRPr="006858C7" w:rsidRDefault="0069305C" w:rsidP="006858C7">
      <w:pPr>
        <w:pStyle w:val="ListParagraph"/>
        <w:numPr>
          <w:ilvl w:val="0"/>
          <w:numId w:val="13"/>
        </w:num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  <w:r w:rsidRPr="006858C7">
        <w:rPr>
          <w:rFonts w:asciiTheme="minorHAnsi" w:hAnsiTheme="minorHAnsi"/>
          <w:b/>
          <w:lang w:val="hr-HR"/>
        </w:rPr>
        <w:t>Kratkoročna p</w:t>
      </w:r>
      <w:r w:rsidR="00854D6F" w:rsidRPr="006858C7">
        <w:rPr>
          <w:rFonts w:asciiTheme="minorHAnsi" w:hAnsiTheme="minorHAnsi"/>
          <w:b/>
          <w:lang w:val="hr-HR"/>
        </w:rPr>
        <w:t xml:space="preserve">otraživanja </w:t>
      </w:r>
    </w:p>
    <w:p w:rsidR="00854D6F" w:rsidRPr="00657ED3" w:rsidRDefault="00854D6F" w:rsidP="00854D6F">
      <w:p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</w:p>
    <w:p w:rsidR="0001200E" w:rsidRDefault="0001200E" w:rsidP="0001200E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  <w:r w:rsidRPr="00814D3C">
        <w:rPr>
          <w:rFonts w:asciiTheme="minorHAnsi" w:hAnsiTheme="minorHAnsi"/>
          <w:lang w:val="hr-HR"/>
        </w:rPr>
        <w:t>Ukupna potraživanja odnose se na kratkoročna potraživanja za naknadu za u</w:t>
      </w:r>
      <w:r w:rsidR="005D3587">
        <w:rPr>
          <w:rFonts w:asciiTheme="minorHAnsi" w:hAnsiTheme="minorHAnsi"/>
          <w:lang w:val="hr-HR"/>
        </w:rPr>
        <w:t>pravljanje</w:t>
      </w:r>
      <w:r w:rsidR="00407F73" w:rsidRPr="00814D3C">
        <w:rPr>
          <w:rFonts w:asciiTheme="minorHAnsi" w:hAnsiTheme="minorHAnsi"/>
          <w:lang w:val="hr-HR"/>
        </w:rPr>
        <w:t xml:space="preserve"> </w:t>
      </w:r>
      <w:r w:rsidR="00657ED3">
        <w:rPr>
          <w:rFonts w:asciiTheme="minorHAnsi" w:hAnsiTheme="minorHAnsi"/>
          <w:lang w:val="hr-HR"/>
        </w:rPr>
        <w:t xml:space="preserve">i izlaznu naknadu </w:t>
      </w:r>
      <w:r w:rsidR="006D2807">
        <w:rPr>
          <w:rFonts w:asciiTheme="minorHAnsi" w:hAnsiTheme="minorHAnsi"/>
          <w:lang w:val="hr-HR"/>
        </w:rPr>
        <w:t>fondova koj</w:t>
      </w:r>
      <w:r w:rsidR="00657ED3">
        <w:rPr>
          <w:rFonts w:asciiTheme="minorHAnsi" w:hAnsiTheme="minorHAnsi"/>
          <w:lang w:val="hr-HR"/>
        </w:rPr>
        <w:t>ima Društvo upravlja.</w:t>
      </w:r>
    </w:p>
    <w:p w:rsidR="000D3004" w:rsidRDefault="000D3004" w:rsidP="0001200E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p w:rsidR="000D3004" w:rsidRDefault="000D3004" w:rsidP="0001200E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tbl>
      <w:tblPr>
        <w:tblW w:w="5600" w:type="dxa"/>
        <w:tblInd w:w="93" w:type="dxa"/>
        <w:tblLook w:val="04A0" w:firstRow="1" w:lastRow="0" w:firstColumn="1" w:lastColumn="0" w:noHBand="0" w:noVBand="1"/>
      </w:tblPr>
      <w:tblGrid>
        <w:gridCol w:w="1241"/>
        <w:gridCol w:w="1600"/>
        <w:gridCol w:w="1540"/>
        <w:gridCol w:w="1219"/>
      </w:tblGrid>
      <w:tr w:rsidR="00854D6F" w:rsidRPr="00854D6F" w:rsidTr="00854D6F">
        <w:trPr>
          <w:trHeight w:val="600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6F" w:rsidRPr="00854D6F" w:rsidRDefault="00854D6F" w:rsidP="00854D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54D6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Fond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D6F" w:rsidRPr="00854D6F" w:rsidRDefault="00854D6F" w:rsidP="00854D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54D6F">
              <w:rPr>
                <w:rFonts w:ascii="Calibri" w:hAnsi="Calibri" w:cs="Calibri"/>
                <w:color w:val="000000"/>
                <w:sz w:val="22"/>
                <w:szCs w:val="22"/>
              </w:rPr>
              <w:t>Naknada</w:t>
            </w:r>
            <w:proofErr w:type="spellEnd"/>
            <w:r w:rsidRPr="00854D6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54D6F">
              <w:rPr>
                <w:rFonts w:ascii="Calibri" w:hAnsi="Calibri" w:cs="Calibri"/>
                <w:color w:val="000000"/>
                <w:sz w:val="22"/>
                <w:szCs w:val="22"/>
              </w:rPr>
              <w:t>za</w:t>
            </w:r>
            <w:proofErr w:type="spellEnd"/>
            <w:r w:rsidRPr="00854D6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54D6F">
              <w:rPr>
                <w:rFonts w:ascii="Calibri" w:hAnsi="Calibri" w:cs="Calibri"/>
                <w:color w:val="000000"/>
                <w:sz w:val="22"/>
                <w:szCs w:val="22"/>
              </w:rPr>
              <w:t>upravljanje</w:t>
            </w:r>
            <w:proofErr w:type="spellEnd"/>
            <w:r w:rsidRPr="00854D6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D6F" w:rsidRPr="00854D6F" w:rsidRDefault="00854D6F" w:rsidP="00854D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54D6F">
              <w:rPr>
                <w:rFonts w:ascii="Calibri" w:hAnsi="Calibri" w:cs="Calibri"/>
                <w:color w:val="000000"/>
                <w:sz w:val="22"/>
                <w:szCs w:val="22"/>
              </w:rPr>
              <w:t>Izlazna</w:t>
            </w:r>
            <w:proofErr w:type="spellEnd"/>
            <w:r w:rsidRPr="00854D6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54D6F">
              <w:rPr>
                <w:rFonts w:ascii="Calibri" w:hAnsi="Calibri" w:cs="Calibri"/>
                <w:color w:val="000000"/>
                <w:sz w:val="22"/>
                <w:szCs w:val="22"/>
              </w:rPr>
              <w:t>naknada</w:t>
            </w:r>
            <w:proofErr w:type="spellEnd"/>
            <w:r w:rsidRPr="00854D6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D6F" w:rsidRPr="00854D6F" w:rsidRDefault="00854D6F" w:rsidP="00854D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54D6F">
              <w:rPr>
                <w:rFonts w:ascii="Calibri" w:hAnsi="Calibri" w:cs="Calibri"/>
                <w:color w:val="000000"/>
                <w:sz w:val="22"/>
                <w:szCs w:val="22"/>
              </w:rPr>
              <w:t>Ukupno</w:t>
            </w:r>
            <w:proofErr w:type="spellEnd"/>
            <w:r w:rsidRPr="00854D6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854D6F" w:rsidRPr="00854D6F" w:rsidTr="00854D6F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D6F" w:rsidRPr="00854D6F" w:rsidRDefault="00854D6F" w:rsidP="00854D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54D6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Future fund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D6F" w:rsidRPr="00854D6F" w:rsidRDefault="0097528D" w:rsidP="00854D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150.989,87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D6F" w:rsidRPr="00854D6F" w:rsidRDefault="0097528D" w:rsidP="00854D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D6F" w:rsidRPr="00854D6F" w:rsidRDefault="0097528D" w:rsidP="00854D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151.065,67</w:t>
            </w:r>
          </w:p>
        </w:tc>
      </w:tr>
      <w:tr w:rsidR="00854D6F" w:rsidRPr="00854D6F" w:rsidTr="00854D6F">
        <w:trPr>
          <w:trHeight w:val="6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D6F" w:rsidRPr="00854D6F" w:rsidRDefault="00854D6F" w:rsidP="00854D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54D6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Maximus fund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D6F" w:rsidRPr="00854D6F" w:rsidRDefault="0097528D" w:rsidP="00854D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99.255,23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D6F" w:rsidRPr="00854D6F" w:rsidRDefault="0097528D" w:rsidP="00854D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114,39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D6F" w:rsidRPr="00854D6F" w:rsidRDefault="0097528D" w:rsidP="00854D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99.369,62</w:t>
            </w:r>
          </w:p>
        </w:tc>
      </w:tr>
      <w:tr w:rsidR="00854D6F" w:rsidRPr="00854D6F" w:rsidTr="00854D6F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D6F" w:rsidRPr="00854D6F" w:rsidRDefault="00854D6F" w:rsidP="00854D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54D6F">
              <w:rPr>
                <w:rFonts w:ascii="Calibri" w:hAnsi="Calibri" w:cs="Calibri"/>
                <w:color w:val="000000"/>
                <w:sz w:val="22"/>
                <w:szCs w:val="22"/>
              </w:rPr>
              <w:t>Ukupno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D6F" w:rsidRPr="00854D6F" w:rsidRDefault="0097528D" w:rsidP="00854D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250.245,10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D6F" w:rsidRPr="00854D6F" w:rsidRDefault="0097528D" w:rsidP="00854D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190,19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D6F" w:rsidRPr="00854D6F" w:rsidRDefault="0097528D" w:rsidP="00854D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250.435,29</w:t>
            </w:r>
          </w:p>
        </w:tc>
      </w:tr>
    </w:tbl>
    <w:p w:rsidR="00152135" w:rsidRPr="00814D3C" w:rsidRDefault="00152135" w:rsidP="0001200E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p w:rsidR="00EE2FBE" w:rsidRPr="00424722" w:rsidRDefault="0069305C" w:rsidP="0001200E">
      <w:pPr>
        <w:pStyle w:val="ListParagraph"/>
        <w:numPr>
          <w:ilvl w:val="0"/>
          <w:numId w:val="13"/>
        </w:num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  <w:r w:rsidRPr="006858C7">
        <w:rPr>
          <w:rFonts w:asciiTheme="minorHAnsi" w:hAnsiTheme="minorHAnsi"/>
          <w:b/>
          <w:lang w:val="hr-HR"/>
        </w:rPr>
        <w:t xml:space="preserve">Kratkoročna finansijski plasmani </w:t>
      </w:r>
    </w:p>
    <w:tbl>
      <w:tblPr>
        <w:tblW w:w="7991" w:type="dxa"/>
        <w:tblInd w:w="93" w:type="dxa"/>
        <w:tblLook w:val="04A0" w:firstRow="1" w:lastRow="0" w:firstColumn="1" w:lastColumn="0" w:noHBand="0" w:noVBand="1"/>
      </w:tblPr>
      <w:tblGrid>
        <w:gridCol w:w="5180"/>
        <w:gridCol w:w="1440"/>
        <w:gridCol w:w="1371"/>
      </w:tblGrid>
      <w:tr w:rsidR="00F948E1" w:rsidRPr="00F948E1" w:rsidTr="00FD700D">
        <w:trPr>
          <w:trHeight w:val="315"/>
        </w:trPr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8E1" w:rsidRPr="00F948E1" w:rsidRDefault="00F948E1" w:rsidP="00F948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8E1" w:rsidRPr="00F948E1" w:rsidRDefault="00F948E1" w:rsidP="00F948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8E1" w:rsidRPr="00F948E1" w:rsidRDefault="00F948E1" w:rsidP="00F948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948E1" w:rsidRPr="00F948E1" w:rsidTr="00FD700D">
        <w:trPr>
          <w:trHeight w:val="330"/>
        </w:trPr>
        <w:tc>
          <w:tcPr>
            <w:tcW w:w="51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48E1" w:rsidRPr="00F948E1" w:rsidRDefault="00F948E1" w:rsidP="00F948E1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F948E1">
              <w:rPr>
                <w:rFonts w:ascii="Calibri" w:hAnsi="Calibri" w:cs="Calibri"/>
                <w:color w:val="000000"/>
              </w:rPr>
              <w:t>Naziv</w:t>
            </w:r>
            <w:proofErr w:type="spellEnd"/>
            <w:r w:rsidRPr="00F948E1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F948E1">
              <w:rPr>
                <w:rFonts w:ascii="Calibri" w:hAnsi="Calibri" w:cs="Calibri"/>
                <w:color w:val="000000"/>
              </w:rPr>
              <w:t>banke</w:t>
            </w:r>
            <w:proofErr w:type="spellEnd"/>
            <w:r w:rsidRPr="00F948E1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48E1" w:rsidRPr="00F948E1" w:rsidRDefault="00F948E1" w:rsidP="00F948E1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F948E1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F948E1">
              <w:rPr>
                <w:rFonts w:ascii="Calibri" w:hAnsi="Calibri" w:cs="Calibri"/>
                <w:color w:val="000000"/>
              </w:rPr>
              <w:t xml:space="preserve"> u KM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48E1" w:rsidRPr="00F948E1" w:rsidRDefault="00F948E1" w:rsidP="00F948E1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F948E1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F948E1">
              <w:rPr>
                <w:rFonts w:ascii="Calibri" w:hAnsi="Calibri" w:cs="Calibri"/>
                <w:color w:val="000000"/>
              </w:rPr>
              <w:t xml:space="preserve"> u KM</w:t>
            </w:r>
          </w:p>
        </w:tc>
      </w:tr>
      <w:tr w:rsidR="00F948E1" w:rsidRPr="00F948E1" w:rsidTr="00FD700D">
        <w:trPr>
          <w:trHeight w:val="330"/>
        </w:trPr>
        <w:tc>
          <w:tcPr>
            <w:tcW w:w="5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8E1" w:rsidRPr="00F948E1" w:rsidRDefault="00F948E1" w:rsidP="00F948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48E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48E1" w:rsidRPr="00F948E1" w:rsidRDefault="0097528D" w:rsidP="00F948E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31.12.2024</w:t>
            </w:r>
            <w:r w:rsidR="00F948E1" w:rsidRPr="00F948E1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48E1" w:rsidRPr="00F948E1" w:rsidRDefault="0097528D" w:rsidP="00F948E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31.12.2023</w:t>
            </w:r>
            <w:r w:rsidR="00F948E1" w:rsidRPr="00F948E1"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F948E1" w:rsidRPr="00F948E1" w:rsidTr="00FD700D">
        <w:trPr>
          <w:trHeight w:val="330"/>
        </w:trPr>
        <w:tc>
          <w:tcPr>
            <w:tcW w:w="5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8E1" w:rsidRPr="00F948E1" w:rsidRDefault="00F948E1" w:rsidP="00F948E1">
            <w:pPr>
              <w:rPr>
                <w:rFonts w:ascii="Calibri" w:hAnsi="Calibri" w:cs="Calibri"/>
                <w:color w:val="000000"/>
              </w:rPr>
            </w:pPr>
            <w:r w:rsidRPr="00F948E1">
              <w:rPr>
                <w:rFonts w:ascii="Calibri" w:hAnsi="Calibri" w:cs="Calibri"/>
                <w:color w:val="000000"/>
              </w:rPr>
              <w:t xml:space="preserve">MF Banka </w:t>
            </w:r>
            <w:proofErr w:type="spellStart"/>
            <w:r w:rsidRPr="00F948E1">
              <w:rPr>
                <w:rFonts w:ascii="Calibri" w:hAnsi="Calibri" w:cs="Calibri"/>
                <w:color w:val="000000"/>
              </w:rPr>
              <w:t>a.d.</w:t>
            </w:r>
            <w:proofErr w:type="spellEnd"/>
            <w:r w:rsidRPr="00F948E1">
              <w:rPr>
                <w:rFonts w:ascii="Calibri" w:hAnsi="Calibri" w:cs="Calibri"/>
                <w:color w:val="000000"/>
              </w:rPr>
              <w:t xml:space="preserve">, Banja Luka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48E1" w:rsidRPr="00F948E1" w:rsidRDefault="0097528D" w:rsidP="00F948E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2.000.000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48E1" w:rsidRPr="00F948E1" w:rsidRDefault="00BE0B45" w:rsidP="00F948E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  <w:r w:rsidR="00F948E1" w:rsidRPr="00F948E1">
              <w:rPr>
                <w:rFonts w:ascii="Calibri" w:hAnsi="Calibri" w:cs="Calibri"/>
                <w:color w:val="000000"/>
              </w:rPr>
              <w:t>00.000</w:t>
            </w:r>
          </w:p>
        </w:tc>
      </w:tr>
      <w:tr w:rsidR="00F948E1" w:rsidRPr="00F948E1" w:rsidTr="00FD700D">
        <w:trPr>
          <w:trHeight w:val="330"/>
        </w:trPr>
        <w:tc>
          <w:tcPr>
            <w:tcW w:w="5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8E1" w:rsidRPr="00F948E1" w:rsidRDefault="00F948E1" w:rsidP="00F948E1">
            <w:pPr>
              <w:rPr>
                <w:rFonts w:ascii="Calibri" w:hAnsi="Calibri" w:cs="Calibri"/>
                <w:color w:val="000000"/>
              </w:rPr>
            </w:pPr>
            <w:r w:rsidRPr="00F948E1">
              <w:rPr>
                <w:rFonts w:ascii="Calibri" w:hAnsi="Calibri" w:cs="Calibri"/>
                <w:color w:val="000000"/>
              </w:rPr>
              <w:t xml:space="preserve">BPŠ Banka </w:t>
            </w:r>
            <w:proofErr w:type="spellStart"/>
            <w:r w:rsidRPr="00F948E1">
              <w:rPr>
                <w:rFonts w:ascii="Calibri" w:hAnsi="Calibri" w:cs="Calibri"/>
                <w:color w:val="000000"/>
              </w:rPr>
              <w:t>a.d.</w:t>
            </w:r>
            <w:proofErr w:type="spellEnd"/>
            <w:r w:rsidRPr="00F948E1">
              <w:rPr>
                <w:rFonts w:ascii="Calibri" w:hAnsi="Calibri" w:cs="Calibri"/>
                <w:color w:val="000000"/>
              </w:rPr>
              <w:t xml:space="preserve">, Banja Luka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48E1" w:rsidRPr="00F948E1" w:rsidRDefault="0097528D" w:rsidP="00F948E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48E1" w:rsidRPr="00F948E1" w:rsidRDefault="00BE0B45" w:rsidP="00F948E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</w:t>
            </w:r>
            <w:r w:rsidR="00F948E1" w:rsidRPr="00F948E1">
              <w:rPr>
                <w:rFonts w:ascii="Calibri" w:hAnsi="Calibri" w:cs="Calibri"/>
                <w:color w:val="000000"/>
              </w:rPr>
              <w:t>00.000</w:t>
            </w:r>
          </w:p>
        </w:tc>
      </w:tr>
      <w:tr w:rsidR="00F948E1" w:rsidRPr="00F948E1" w:rsidTr="00FD700D">
        <w:trPr>
          <w:trHeight w:val="330"/>
        </w:trPr>
        <w:tc>
          <w:tcPr>
            <w:tcW w:w="5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8E1" w:rsidRPr="00F948E1" w:rsidRDefault="00F948E1" w:rsidP="00F948E1">
            <w:pPr>
              <w:rPr>
                <w:rFonts w:ascii="Calibri" w:hAnsi="Calibri" w:cs="Calibri"/>
                <w:color w:val="000000"/>
              </w:rPr>
            </w:pPr>
            <w:r w:rsidRPr="00F948E1">
              <w:rPr>
                <w:rFonts w:ascii="Calibri" w:hAnsi="Calibri" w:cs="Calibri"/>
                <w:color w:val="000000"/>
              </w:rPr>
              <w:t xml:space="preserve">UKUPNO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E1" w:rsidRPr="00F948E1" w:rsidRDefault="00F948E1" w:rsidP="00F948E1">
            <w:pPr>
              <w:jc w:val="right"/>
              <w:rPr>
                <w:rFonts w:ascii="Calibri" w:hAnsi="Calibri" w:cs="Calibri"/>
                <w:color w:val="000000"/>
              </w:rPr>
            </w:pPr>
            <w:r w:rsidRPr="00F948E1">
              <w:rPr>
                <w:rFonts w:ascii="Calibri" w:hAnsi="Calibri" w:cs="Calibri"/>
                <w:color w:val="000000"/>
              </w:rPr>
              <w:t>2.000.000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48E1" w:rsidRPr="00F948E1" w:rsidRDefault="00BE0B45" w:rsidP="00F948E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2.0</w:t>
            </w:r>
            <w:r w:rsidR="00F948E1" w:rsidRPr="00F948E1">
              <w:rPr>
                <w:rFonts w:ascii="Calibri" w:hAnsi="Calibri" w:cs="Calibri"/>
                <w:color w:val="000000"/>
              </w:rPr>
              <w:t>00.000</w:t>
            </w:r>
          </w:p>
        </w:tc>
      </w:tr>
    </w:tbl>
    <w:p w:rsidR="0069305C" w:rsidRDefault="0069305C" w:rsidP="0001200E">
      <w:pPr>
        <w:jc w:val="both"/>
        <w:rPr>
          <w:rFonts w:asciiTheme="minorHAnsi" w:hAnsiTheme="minorHAnsi"/>
          <w:b/>
          <w:lang w:val="hr-HR"/>
        </w:rPr>
      </w:pPr>
    </w:p>
    <w:p w:rsidR="0069305C" w:rsidRPr="00F948E1" w:rsidRDefault="00F948E1" w:rsidP="0001200E">
      <w:pPr>
        <w:jc w:val="both"/>
        <w:rPr>
          <w:rFonts w:asciiTheme="minorHAnsi" w:hAnsiTheme="minorHAnsi"/>
          <w:lang w:val="hr-HR"/>
        </w:rPr>
      </w:pPr>
      <w:r w:rsidRPr="00F948E1">
        <w:rPr>
          <w:rFonts w:asciiTheme="minorHAnsi" w:hAnsiTheme="minorHAnsi"/>
          <w:lang w:val="hr-HR"/>
        </w:rPr>
        <w:t xml:space="preserve">Kamata kod MF Banke iznosi </w:t>
      </w:r>
      <w:r w:rsidR="00CE3AA7">
        <w:rPr>
          <w:rFonts w:asciiTheme="minorHAnsi" w:hAnsiTheme="minorHAnsi"/>
          <w:lang w:val="hr-HR"/>
        </w:rPr>
        <w:t>2,78 % na oročeni iznos 1.500.000,00 KM i 3 % na iznos od 500.000,00 KM.</w:t>
      </w:r>
    </w:p>
    <w:p w:rsidR="0069305C" w:rsidRDefault="0069305C" w:rsidP="0001200E">
      <w:pPr>
        <w:jc w:val="both"/>
        <w:rPr>
          <w:rFonts w:asciiTheme="minorHAnsi" w:hAnsiTheme="minorHAnsi"/>
          <w:b/>
          <w:lang w:val="hr-HR"/>
        </w:rPr>
      </w:pPr>
    </w:p>
    <w:p w:rsidR="0069305C" w:rsidRDefault="0069305C" w:rsidP="006858C7">
      <w:pPr>
        <w:pStyle w:val="ListParagraph"/>
        <w:numPr>
          <w:ilvl w:val="0"/>
          <w:numId w:val="13"/>
        </w:num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  <w:r w:rsidRPr="006858C7">
        <w:rPr>
          <w:rFonts w:asciiTheme="minorHAnsi" w:hAnsiTheme="minorHAnsi"/>
          <w:b/>
          <w:lang w:val="hr-HR"/>
        </w:rPr>
        <w:t xml:space="preserve">Gotovina i gotovinski ekvivalenti </w:t>
      </w:r>
    </w:p>
    <w:p w:rsidR="00424722" w:rsidRDefault="00424722" w:rsidP="00424722">
      <w:p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</w:p>
    <w:tbl>
      <w:tblPr>
        <w:tblW w:w="7420" w:type="dxa"/>
        <w:tblInd w:w="93" w:type="dxa"/>
        <w:tblLook w:val="04A0" w:firstRow="1" w:lastRow="0" w:firstColumn="1" w:lastColumn="0" w:noHBand="0" w:noVBand="1"/>
      </w:tblPr>
      <w:tblGrid>
        <w:gridCol w:w="3760"/>
        <w:gridCol w:w="1340"/>
        <w:gridCol w:w="1360"/>
        <w:gridCol w:w="960"/>
      </w:tblGrid>
      <w:tr w:rsidR="00BA3B88" w:rsidRPr="00BA3B88" w:rsidTr="00BA3B88">
        <w:trPr>
          <w:trHeight w:val="315"/>
        </w:trPr>
        <w:tc>
          <w:tcPr>
            <w:tcW w:w="3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BA3B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Gotovina</w:t>
            </w:r>
            <w:proofErr w:type="spellEnd"/>
            <w:r w:rsidRPr="00BA3B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3B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</w:t>
            </w:r>
            <w:proofErr w:type="spellEnd"/>
            <w:r w:rsidRPr="00BA3B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3B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gotovinski</w:t>
            </w:r>
            <w:proofErr w:type="spellEnd"/>
            <w:r w:rsidRPr="00BA3B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3B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ekvivalenti</w:t>
            </w:r>
            <w:proofErr w:type="spellEnd"/>
            <w:r w:rsidRPr="00BA3B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31.12.2024.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31.12.2023.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Index</w:t>
            </w:r>
          </w:p>
        </w:tc>
      </w:tr>
      <w:tr w:rsidR="00BA3B88" w:rsidRPr="00BA3B88" w:rsidTr="00BA3B88">
        <w:trPr>
          <w:trHeight w:val="315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Atos </w:t>
            </w:r>
            <w:proofErr w:type="spellStart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banka</w:t>
            </w:r>
            <w:proofErr w:type="spellEnd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a.d.</w:t>
            </w:r>
            <w:proofErr w:type="spellEnd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Banja Luka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833272" w:rsidP="00BA3B8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5.858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10.742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0,55</w:t>
            </w:r>
          </w:p>
        </w:tc>
      </w:tr>
      <w:tr w:rsidR="00833272" w:rsidRPr="00BA3B88" w:rsidTr="00BA3B88">
        <w:trPr>
          <w:trHeight w:val="315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33272" w:rsidRPr="00BA3B88" w:rsidRDefault="00833272" w:rsidP="0083327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Atos </w:t>
            </w:r>
            <w:proofErr w:type="spellStart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banka</w:t>
            </w:r>
            <w:proofErr w:type="spellEnd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a.d.</w:t>
            </w:r>
            <w:proofErr w:type="spellEnd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rezervisana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sredstva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33272" w:rsidRPr="00BA3B88" w:rsidRDefault="00833272" w:rsidP="00BA3B8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10.662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33272" w:rsidRPr="00BA3B88" w:rsidRDefault="00833272" w:rsidP="00BA3B8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33272" w:rsidRPr="00BA3B88" w:rsidRDefault="00833272" w:rsidP="00BA3B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BA3B88" w:rsidRPr="00BA3B88" w:rsidTr="00BA3B88">
        <w:trPr>
          <w:trHeight w:val="315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Nova </w:t>
            </w:r>
            <w:proofErr w:type="spellStart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banka</w:t>
            </w:r>
            <w:proofErr w:type="spellEnd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a.d.</w:t>
            </w:r>
            <w:proofErr w:type="spellEnd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Banja Luka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57.033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1.489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38,30</w:t>
            </w:r>
          </w:p>
        </w:tc>
      </w:tr>
      <w:tr w:rsidR="00BA3B88" w:rsidRPr="00BA3B88" w:rsidTr="00BA3B88">
        <w:trPr>
          <w:trHeight w:val="315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Raiffiesen</w:t>
            </w:r>
            <w:proofErr w:type="spellEnd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bank </w:t>
            </w:r>
            <w:proofErr w:type="spellStart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d.d</w:t>
            </w:r>
            <w:proofErr w:type="spellEnd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., Banja Luka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851.430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931.008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0,91</w:t>
            </w:r>
          </w:p>
        </w:tc>
      </w:tr>
      <w:tr w:rsidR="00BA3B88" w:rsidRPr="00BA3B88" w:rsidTr="00BA3B88">
        <w:trPr>
          <w:trHeight w:val="315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NLB Banka </w:t>
            </w:r>
            <w:proofErr w:type="spellStart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a.d.</w:t>
            </w:r>
            <w:proofErr w:type="spellEnd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Banja Luka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752.178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104.542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7,19</w:t>
            </w:r>
          </w:p>
        </w:tc>
      </w:tr>
      <w:tr w:rsidR="00BA3B88" w:rsidRPr="00BA3B88" w:rsidTr="00BA3B88">
        <w:trPr>
          <w:trHeight w:val="315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MF Banka </w:t>
            </w:r>
            <w:proofErr w:type="spellStart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a.d.</w:t>
            </w:r>
            <w:proofErr w:type="spellEnd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Banja Luka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1.576.516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714.396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2,21</w:t>
            </w:r>
          </w:p>
        </w:tc>
      </w:tr>
      <w:tr w:rsidR="00BA3B88" w:rsidRPr="00BA3B88" w:rsidTr="00BA3B88">
        <w:trPr>
          <w:trHeight w:val="315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BA3B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</w:t>
            </w:r>
            <w:proofErr w:type="spellEnd"/>
            <w:r w:rsidRPr="00BA3B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3B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poslovni</w:t>
            </w:r>
            <w:proofErr w:type="spellEnd"/>
            <w:r w:rsidRPr="00BA3B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3B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račun</w:t>
            </w:r>
            <w:proofErr w:type="spellEnd"/>
            <w:r w:rsidRPr="00BA3B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3B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domaća</w:t>
            </w:r>
            <w:proofErr w:type="spellEnd"/>
            <w:r w:rsidRPr="00BA3B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3B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valuta</w:t>
            </w:r>
            <w:proofErr w:type="spellEnd"/>
            <w:r w:rsidRPr="00BA3B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83327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  <w:r w:rsidR="00833272">
              <w:rPr>
                <w:rFonts w:ascii="Calibri" w:hAnsi="Calibri" w:cs="Calibri"/>
                <w:color w:val="000000"/>
                <w:sz w:val="22"/>
                <w:szCs w:val="22"/>
              </w:rPr>
              <w:t>253.677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1.762.177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1,84</w:t>
            </w:r>
          </w:p>
        </w:tc>
      </w:tr>
      <w:tr w:rsidR="00BA3B88" w:rsidRPr="00BA3B88" w:rsidTr="00BA3B88">
        <w:trPr>
          <w:trHeight w:val="315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Ukupno</w:t>
            </w:r>
            <w:proofErr w:type="spellEnd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poslovni</w:t>
            </w:r>
            <w:proofErr w:type="spellEnd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račun</w:t>
            </w:r>
            <w:proofErr w:type="spellEnd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strane</w:t>
            </w:r>
            <w:proofErr w:type="spellEnd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valute</w:t>
            </w:r>
            <w:proofErr w:type="spellEnd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377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377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1,00</w:t>
            </w:r>
          </w:p>
        </w:tc>
      </w:tr>
      <w:tr w:rsidR="00BA3B88" w:rsidRPr="00BA3B88" w:rsidTr="00BA3B88">
        <w:trPr>
          <w:trHeight w:val="315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Avansi</w:t>
            </w:r>
            <w:proofErr w:type="spellEnd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za</w:t>
            </w:r>
            <w:proofErr w:type="spellEnd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kupovinu</w:t>
            </w:r>
            <w:proofErr w:type="spellEnd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hov</w:t>
            </w:r>
            <w:proofErr w:type="spellEnd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106.122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147.837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0,72</w:t>
            </w:r>
          </w:p>
        </w:tc>
      </w:tr>
      <w:tr w:rsidR="00BA3B88" w:rsidRPr="00BA3B88" w:rsidTr="00BA3B88">
        <w:trPr>
          <w:trHeight w:val="315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Castodi</w:t>
            </w:r>
            <w:proofErr w:type="spellEnd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račun</w:t>
            </w:r>
            <w:proofErr w:type="spellEnd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kod</w:t>
            </w:r>
            <w:proofErr w:type="spellEnd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Raiffeisen</w:t>
            </w:r>
            <w:proofErr w:type="spellEnd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bank </w:t>
            </w:r>
            <w:proofErr w:type="spellStart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d.d</w:t>
            </w:r>
            <w:proofErr w:type="spellEnd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340.460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1.920.396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0,18</w:t>
            </w:r>
          </w:p>
        </w:tc>
      </w:tr>
      <w:tr w:rsidR="00BA3B88" w:rsidRPr="00BA3B88" w:rsidTr="00BA3B88">
        <w:trPr>
          <w:trHeight w:val="315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Blagajna</w:t>
            </w:r>
            <w:proofErr w:type="spellEnd"/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236,53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1,35</w:t>
            </w:r>
          </w:p>
        </w:tc>
      </w:tr>
      <w:tr w:rsidR="00BA3B88" w:rsidRPr="00BA3B88" w:rsidTr="00BA3B88">
        <w:trPr>
          <w:trHeight w:val="315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BA3B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833272" w:rsidP="00BA3B8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3.700.873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3.830.962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B88" w:rsidRPr="00BA3B88" w:rsidRDefault="00BA3B88" w:rsidP="00BA3B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3B88">
              <w:rPr>
                <w:rFonts w:ascii="Calibri" w:hAnsi="Calibri" w:cs="Calibri"/>
                <w:color w:val="000000"/>
                <w:sz w:val="22"/>
                <w:szCs w:val="22"/>
              </w:rPr>
              <w:t>0,96</w:t>
            </w:r>
          </w:p>
        </w:tc>
      </w:tr>
    </w:tbl>
    <w:p w:rsidR="00BA3B88" w:rsidRDefault="00BA3B88" w:rsidP="00424722">
      <w:p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</w:p>
    <w:p w:rsidR="00BA3B88" w:rsidRDefault="00BA3B88" w:rsidP="00424722">
      <w:p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</w:p>
    <w:p w:rsidR="00BA3B88" w:rsidRDefault="00BA3B88" w:rsidP="00424722">
      <w:p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</w:p>
    <w:p w:rsidR="00BA3B88" w:rsidRPr="00BF5BD2" w:rsidRDefault="00BA3B88" w:rsidP="00424722">
      <w:pPr>
        <w:tabs>
          <w:tab w:val="left" w:pos="6510"/>
        </w:tabs>
        <w:jc w:val="both"/>
        <w:rPr>
          <w:rFonts w:asciiTheme="minorHAnsi" w:hAnsiTheme="minorHAnsi"/>
          <w:b/>
        </w:rPr>
      </w:pPr>
    </w:p>
    <w:p w:rsidR="00BA3B88" w:rsidRDefault="00BA3B88" w:rsidP="00424722">
      <w:p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</w:p>
    <w:p w:rsidR="00A43FDD" w:rsidRPr="006858C7" w:rsidRDefault="00854D6F" w:rsidP="006858C7">
      <w:pPr>
        <w:pStyle w:val="ListParagraph"/>
        <w:numPr>
          <w:ilvl w:val="0"/>
          <w:numId w:val="13"/>
        </w:num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  <w:r w:rsidRPr="006858C7">
        <w:rPr>
          <w:rFonts w:asciiTheme="minorHAnsi" w:hAnsiTheme="minorHAnsi"/>
          <w:b/>
          <w:lang w:val="hr-HR"/>
        </w:rPr>
        <w:t xml:space="preserve">Struktura ukupnog kapitala </w:t>
      </w:r>
    </w:p>
    <w:p w:rsidR="000D3004" w:rsidRDefault="000D3004" w:rsidP="0001200E">
      <w:p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</w:p>
    <w:tbl>
      <w:tblPr>
        <w:tblW w:w="6460" w:type="dxa"/>
        <w:tblInd w:w="93" w:type="dxa"/>
        <w:tblLook w:val="04A0" w:firstRow="1" w:lastRow="0" w:firstColumn="1" w:lastColumn="0" w:noHBand="0" w:noVBand="1"/>
      </w:tblPr>
      <w:tblGrid>
        <w:gridCol w:w="3580"/>
        <w:gridCol w:w="1275"/>
        <w:gridCol w:w="1275"/>
        <w:gridCol w:w="708"/>
      </w:tblGrid>
      <w:tr w:rsidR="0079616D" w:rsidRPr="0079616D" w:rsidTr="0079616D">
        <w:trPr>
          <w:trHeight w:val="315"/>
        </w:trPr>
        <w:tc>
          <w:tcPr>
            <w:tcW w:w="3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KAPITAL 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31.12.2024.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31.12.2023.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Index</w:t>
            </w:r>
          </w:p>
        </w:tc>
      </w:tr>
      <w:tr w:rsidR="0079616D" w:rsidRPr="0079616D" w:rsidTr="0079616D">
        <w:trPr>
          <w:trHeight w:val="315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Akcijski</w:t>
            </w:r>
            <w:proofErr w:type="spellEnd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kapital</w:t>
            </w:r>
            <w:proofErr w:type="spellEnd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obične</w:t>
            </w:r>
            <w:proofErr w:type="spellEnd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akcije</w:t>
            </w:r>
            <w:proofErr w:type="spellEnd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1.150.000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1.150.000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79616D" w:rsidRPr="0079616D" w:rsidTr="0079616D">
        <w:trPr>
          <w:trHeight w:val="315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Zakonske</w:t>
            </w:r>
            <w:proofErr w:type="spellEnd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rezerve</w:t>
            </w:r>
            <w:proofErr w:type="spellEnd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165.000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165.000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79616D" w:rsidRPr="0079616D" w:rsidTr="0079616D">
        <w:trPr>
          <w:trHeight w:val="315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Statutarne</w:t>
            </w:r>
            <w:proofErr w:type="spellEnd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rezerve</w:t>
            </w:r>
            <w:proofErr w:type="spellEnd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4.626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4.626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79616D" w:rsidRPr="0079616D" w:rsidTr="0079616D">
        <w:trPr>
          <w:trHeight w:val="315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Ostale</w:t>
            </w:r>
            <w:proofErr w:type="spellEnd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rezerve</w:t>
            </w:r>
            <w:proofErr w:type="spellEnd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19.750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19.750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79616D" w:rsidRPr="0079616D" w:rsidTr="0079616D">
        <w:trPr>
          <w:trHeight w:val="315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616D" w:rsidRPr="0079616D" w:rsidRDefault="0079616D" w:rsidP="007961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Nerealizovani</w:t>
            </w:r>
            <w:proofErr w:type="spellEnd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dobici</w:t>
            </w:r>
            <w:proofErr w:type="spellEnd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EB1E31" w:rsidRDefault="00EB1E31" w:rsidP="007961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E31">
              <w:rPr>
                <w:rFonts w:ascii="Calibri" w:hAnsi="Calibri" w:cs="Calibri"/>
                <w:color w:val="000000"/>
                <w:sz w:val="22"/>
                <w:szCs w:val="22"/>
              </w:rPr>
              <w:t>239.570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433.425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0,55</w:t>
            </w:r>
          </w:p>
        </w:tc>
      </w:tr>
      <w:tr w:rsidR="0079616D" w:rsidRPr="0079616D" w:rsidTr="0079616D">
        <w:trPr>
          <w:trHeight w:val="315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616D" w:rsidRPr="0079616D" w:rsidRDefault="0079616D" w:rsidP="007961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Nerealizovani</w:t>
            </w:r>
            <w:proofErr w:type="spellEnd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gubici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EB1E31" w:rsidRDefault="0079616D" w:rsidP="00EB1E3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1E31">
              <w:rPr>
                <w:rFonts w:ascii="Calibri" w:hAnsi="Calibri" w:cs="Calibri"/>
                <w:color w:val="000000"/>
                <w:sz w:val="22"/>
                <w:szCs w:val="22"/>
              </w:rPr>
              <w:t>-1.67</w:t>
            </w:r>
            <w:r w:rsidR="00EB1E31" w:rsidRPr="00EB1E31">
              <w:rPr>
                <w:rFonts w:ascii="Calibri" w:hAnsi="Calibri" w:cs="Calibri"/>
                <w:color w:val="000000"/>
                <w:sz w:val="22"/>
                <w:szCs w:val="22"/>
              </w:rPr>
              <w:t>8.553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-1.737.422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0,96</w:t>
            </w:r>
          </w:p>
        </w:tc>
      </w:tr>
      <w:tr w:rsidR="0079616D" w:rsidRPr="0079616D" w:rsidTr="0079616D">
        <w:trPr>
          <w:trHeight w:val="315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Neraspoređena</w:t>
            </w:r>
            <w:proofErr w:type="spellEnd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dobit</w:t>
            </w:r>
            <w:proofErr w:type="spellEnd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ranijih</w:t>
            </w:r>
            <w:proofErr w:type="spellEnd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godina</w:t>
            </w:r>
            <w:proofErr w:type="spellEnd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5.812.901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5.685.196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1,02</w:t>
            </w:r>
          </w:p>
        </w:tc>
      </w:tr>
      <w:tr w:rsidR="0079616D" w:rsidRPr="0079616D" w:rsidTr="0079616D">
        <w:trPr>
          <w:trHeight w:val="315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Neraspoređena</w:t>
            </w:r>
            <w:proofErr w:type="spellEnd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dobit</w:t>
            </w:r>
            <w:proofErr w:type="spellEnd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tekuće</w:t>
            </w:r>
            <w:proofErr w:type="spellEnd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godine</w:t>
            </w:r>
            <w:proofErr w:type="spellEnd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9616D" w:rsidRPr="00594DE3" w:rsidRDefault="00F60D6F" w:rsidP="00EB1E3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4DE3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  <w:r w:rsidR="000B0F06">
              <w:rPr>
                <w:rFonts w:ascii="Calibri" w:hAnsi="Calibri" w:cs="Calibri"/>
                <w:color w:val="000000"/>
                <w:sz w:val="22"/>
                <w:szCs w:val="22"/>
              </w:rPr>
              <w:t>907.197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2.109.705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0,90</w:t>
            </w:r>
          </w:p>
        </w:tc>
      </w:tr>
      <w:tr w:rsidR="0079616D" w:rsidRPr="0079616D" w:rsidTr="0079616D">
        <w:trPr>
          <w:trHeight w:val="315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Neto</w:t>
            </w:r>
            <w:proofErr w:type="spellEnd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kapital</w:t>
            </w:r>
            <w:proofErr w:type="spellEnd"/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594DE3" w:rsidRDefault="0079616D" w:rsidP="00F60D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4DE3"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  <w:r w:rsidR="000B0F06">
              <w:rPr>
                <w:rFonts w:ascii="Calibri" w:hAnsi="Calibri" w:cs="Calibri"/>
                <w:color w:val="000000"/>
                <w:sz w:val="22"/>
                <w:szCs w:val="22"/>
              </w:rPr>
              <w:t>620.491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7.830.280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616D" w:rsidRPr="0079616D" w:rsidRDefault="0079616D" w:rsidP="0079616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16D">
              <w:rPr>
                <w:rFonts w:ascii="Calibri" w:hAnsi="Calibri" w:cs="Calibri"/>
                <w:color w:val="000000"/>
                <w:sz w:val="22"/>
                <w:szCs w:val="22"/>
              </w:rPr>
              <w:t>0,97</w:t>
            </w:r>
          </w:p>
        </w:tc>
      </w:tr>
    </w:tbl>
    <w:p w:rsidR="0079616D" w:rsidRDefault="0079616D" w:rsidP="0001200E">
      <w:p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</w:p>
    <w:p w:rsidR="0079616D" w:rsidRDefault="0079616D" w:rsidP="0001200E">
      <w:p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</w:p>
    <w:p w:rsidR="00AB6999" w:rsidRDefault="00AB6999" w:rsidP="00350DA2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p w:rsidR="00350DA2" w:rsidRDefault="00A43FDD" w:rsidP="00350DA2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  <w:r w:rsidRPr="00814D3C">
        <w:rPr>
          <w:rFonts w:asciiTheme="minorHAnsi" w:hAnsiTheme="minorHAnsi"/>
          <w:lang w:val="hr-HR"/>
        </w:rPr>
        <w:t>Vla</w:t>
      </w:r>
      <w:r w:rsidR="000A5BF6" w:rsidRPr="00814D3C">
        <w:rPr>
          <w:rFonts w:asciiTheme="minorHAnsi" w:hAnsiTheme="minorHAnsi"/>
          <w:lang w:val="hr-HR"/>
        </w:rPr>
        <w:t>s</w:t>
      </w:r>
      <w:r w:rsidR="00FC3DF8">
        <w:rPr>
          <w:rFonts w:asciiTheme="minorHAnsi" w:hAnsiTheme="minorHAnsi"/>
          <w:lang w:val="hr-HR"/>
        </w:rPr>
        <w:t xml:space="preserve">nička struktura kapitala je u vlasništvu Thaler Vermogensverwaltung iz Beča, </w:t>
      </w:r>
      <w:r w:rsidR="00854D6F">
        <w:rPr>
          <w:rFonts w:asciiTheme="minorHAnsi" w:hAnsiTheme="minorHAnsi"/>
          <w:lang w:val="hr-HR"/>
        </w:rPr>
        <w:t>83,39</w:t>
      </w:r>
      <w:r w:rsidRPr="00814D3C">
        <w:rPr>
          <w:rFonts w:asciiTheme="minorHAnsi" w:hAnsiTheme="minorHAnsi"/>
          <w:lang w:val="hr-HR"/>
        </w:rPr>
        <w:t xml:space="preserve"> % </w:t>
      </w:r>
      <w:r w:rsidR="00FC3DF8">
        <w:rPr>
          <w:rFonts w:asciiTheme="minorHAnsi" w:hAnsiTheme="minorHAnsi"/>
          <w:lang w:val="hr-HR"/>
        </w:rPr>
        <w:t xml:space="preserve">i 16,61 % „Kristal konsalting“ad </w:t>
      </w:r>
      <w:r w:rsidR="000A5BF6" w:rsidRPr="00814D3C">
        <w:rPr>
          <w:rFonts w:asciiTheme="minorHAnsi" w:hAnsiTheme="minorHAnsi"/>
          <w:lang w:val="hr-HR"/>
        </w:rPr>
        <w:t>Banja Luka.</w:t>
      </w:r>
    </w:p>
    <w:p w:rsidR="00A542BA" w:rsidRDefault="00A542BA" w:rsidP="00350DA2">
      <w:p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</w:p>
    <w:p w:rsidR="00A542BA" w:rsidRPr="006858C7" w:rsidRDefault="00A542BA" w:rsidP="006858C7">
      <w:pPr>
        <w:pStyle w:val="ListParagraph"/>
        <w:numPr>
          <w:ilvl w:val="0"/>
          <w:numId w:val="13"/>
        </w:num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  <w:r w:rsidRPr="006858C7">
        <w:rPr>
          <w:rFonts w:asciiTheme="minorHAnsi" w:hAnsiTheme="minorHAnsi"/>
          <w:b/>
          <w:lang w:val="hr-HR"/>
        </w:rPr>
        <w:t xml:space="preserve">Obaveze </w:t>
      </w:r>
    </w:p>
    <w:p w:rsidR="00A542BA" w:rsidRPr="00EE2FBE" w:rsidRDefault="00A542BA" w:rsidP="00350DA2">
      <w:p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</w:p>
    <w:tbl>
      <w:tblPr>
        <w:tblW w:w="8263" w:type="dxa"/>
        <w:tblInd w:w="98" w:type="dxa"/>
        <w:tblLook w:val="04A0" w:firstRow="1" w:lastRow="0" w:firstColumn="1" w:lastColumn="0" w:noHBand="0" w:noVBand="1"/>
      </w:tblPr>
      <w:tblGrid>
        <w:gridCol w:w="3741"/>
        <w:gridCol w:w="272"/>
        <w:gridCol w:w="1742"/>
        <w:gridCol w:w="272"/>
        <w:gridCol w:w="2014"/>
        <w:gridCol w:w="222"/>
      </w:tblGrid>
      <w:tr w:rsidR="0001200E" w:rsidRPr="00814D3C" w:rsidTr="00A02927">
        <w:trPr>
          <w:trHeight w:val="290"/>
        </w:trPr>
        <w:tc>
          <w:tcPr>
            <w:tcW w:w="826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00E" w:rsidRPr="00814D3C" w:rsidRDefault="0001200E" w:rsidP="007D40C3">
            <w:pPr>
              <w:rPr>
                <w:rFonts w:asciiTheme="minorHAnsi" w:hAnsiTheme="minorHAnsi" w:cs="Arial"/>
              </w:rPr>
            </w:pPr>
            <w:proofErr w:type="spellStart"/>
            <w:r w:rsidRPr="00814D3C">
              <w:rPr>
                <w:rFonts w:asciiTheme="minorHAnsi" w:hAnsiTheme="minorHAnsi" w:cs="Arial"/>
              </w:rPr>
              <w:t>Struktura</w:t>
            </w:r>
            <w:proofErr w:type="spellEnd"/>
            <w:r w:rsidRPr="00814D3C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814D3C">
              <w:rPr>
                <w:rFonts w:asciiTheme="minorHAnsi" w:hAnsiTheme="minorHAnsi" w:cs="Arial"/>
              </w:rPr>
              <w:t>obaveza</w:t>
            </w:r>
            <w:proofErr w:type="spellEnd"/>
            <w:r w:rsidRPr="00814D3C">
              <w:rPr>
                <w:rFonts w:asciiTheme="minorHAnsi" w:hAnsiTheme="minorHAnsi" w:cs="Arial"/>
              </w:rPr>
              <w:t xml:space="preserve"> </w:t>
            </w:r>
            <w:proofErr w:type="spellStart"/>
            <w:r w:rsidR="00A5427C">
              <w:rPr>
                <w:rFonts w:asciiTheme="minorHAnsi" w:hAnsiTheme="minorHAnsi" w:cs="Arial"/>
              </w:rPr>
              <w:t>iz</w:t>
            </w:r>
            <w:proofErr w:type="spellEnd"/>
            <w:r w:rsidR="00A5427C">
              <w:rPr>
                <w:rFonts w:asciiTheme="minorHAnsi" w:hAnsiTheme="minorHAnsi" w:cs="Arial"/>
              </w:rPr>
              <w:t xml:space="preserve"> </w:t>
            </w:r>
            <w:proofErr w:type="spellStart"/>
            <w:r w:rsidR="00A5427C">
              <w:rPr>
                <w:rFonts w:asciiTheme="minorHAnsi" w:hAnsiTheme="minorHAnsi" w:cs="Arial"/>
              </w:rPr>
              <w:t>poslovanja</w:t>
            </w:r>
            <w:proofErr w:type="spellEnd"/>
            <w:r w:rsidR="00A5427C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814D3C">
              <w:rPr>
                <w:rFonts w:asciiTheme="minorHAnsi" w:hAnsiTheme="minorHAnsi" w:cs="Arial"/>
              </w:rPr>
              <w:t>prikazana</w:t>
            </w:r>
            <w:proofErr w:type="spellEnd"/>
            <w:r w:rsidRPr="00814D3C">
              <w:rPr>
                <w:rFonts w:asciiTheme="minorHAnsi" w:hAnsiTheme="minorHAnsi" w:cs="Arial"/>
              </w:rPr>
              <w:t xml:space="preserve"> je u </w:t>
            </w:r>
            <w:proofErr w:type="spellStart"/>
            <w:r w:rsidRPr="00814D3C">
              <w:rPr>
                <w:rFonts w:asciiTheme="minorHAnsi" w:hAnsiTheme="minorHAnsi" w:cs="Arial"/>
              </w:rPr>
              <w:t>narednoj</w:t>
            </w:r>
            <w:proofErr w:type="spellEnd"/>
            <w:r w:rsidRPr="00814D3C">
              <w:rPr>
                <w:rFonts w:asciiTheme="minorHAnsi" w:hAnsiTheme="minorHAnsi" w:cs="Arial"/>
              </w:rPr>
              <w:t xml:space="preserve"> tabeli:</w:t>
            </w:r>
          </w:p>
        </w:tc>
      </w:tr>
      <w:tr w:rsidR="0001200E" w:rsidRPr="00814D3C" w:rsidTr="00A02927">
        <w:trPr>
          <w:trHeight w:val="290"/>
        </w:trPr>
        <w:tc>
          <w:tcPr>
            <w:tcW w:w="37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E40" w:rsidRPr="00814D3C" w:rsidRDefault="00E47E40" w:rsidP="00A02927">
            <w:pPr>
              <w:rPr>
                <w:rFonts w:asciiTheme="minorHAnsi" w:hAnsiTheme="minorHAnsi" w:cs="Arial"/>
              </w:rPr>
            </w:pP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00E" w:rsidRPr="00814D3C" w:rsidRDefault="0001200E" w:rsidP="00A02927">
            <w:pPr>
              <w:rPr>
                <w:rFonts w:asciiTheme="minorHAnsi" w:hAnsiTheme="minorHAnsi" w:cs="Arial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00E" w:rsidRPr="00814D3C" w:rsidRDefault="0001200E" w:rsidP="00A02927">
            <w:pPr>
              <w:rPr>
                <w:rFonts w:asciiTheme="minorHAnsi" w:hAnsiTheme="minorHAnsi"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00E" w:rsidRPr="00814D3C" w:rsidRDefault="0001200E" w:rsidP="00A02927">
            <w:pPr>
              <w:rPr>
                <w:rFonts w:asciiTheme="minorHAnsi" w:hAnsiTheme="minorHAnsi" w:cs="Arial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00E" w:rsidRPr="00814D3C" w:rsidRDefault="0001200E" w:rsidP="00A02927">
            <w:pPr>
              <w:rPr>
                <w:rFonts w:asciiTheme="minorHAnsi" w:hAnsiTheme="minorHAnsi" w:cs="Arial"/>
              </w:rPr>
            </w:pPr>
          </w:p>
        </w:tc>
      </w:tr>
      <w:tr w:rsidR="0001200E" w:rsidRPr="00A5427C" w:rsidTr="00E66CFE">
        <w:trPr>
          <w:gridAfter w:val="1"/>
          <w:wAfter w:w="222" w:type="dxa"/>
          <w:trHeight w:val="290"/>
        </w:trPr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0E" w:rsidRPr="00A5427C" w:rsidRDefault="0001200E" w:rsidP="00A02927">
            <w:pPr>
              <w:jc w:val="center"/>
              <w:rPr>
                <w:rFonts w:asciiTheme="minorHAnsi" w:hAnsiTheme="minorHAnsi" w:cs="Arial"/>
              </w:rPr>
            </w:pPr>
            <w:r w:rsidRPr="00A5427C">
              <w:rPr>
                <w:rFonts w:asciiTheme="minorHAnsi" w:hAnsiTheme="minorHAnsi" w:cs="Arial"/>
              </w:rPr>
              <w:t>VRSTA OBAVEZE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0E" w:rsidRPr="00A5427C" w:rsidRDefault="0001200E" w:rsidP="00A02927">
            <w:pPr>
              <w:jc w:val="center"/>
              <w:rPr>
                <w:rFonts w:asciiTheme="minorHAnsi" w:hAnsiTheme="minorHAnsi" w:cs="Arial"/>
              </w:rPr>
            </w:pPr>
            <w:r w:rsidRPr="00A5427C">
              <w:rPr>
                <w:rFonts w:asciiTheme="minorHAnsi" w:hAnsiTheme="minorHAnsi" w:cs="Arial"/>
              </w:rPr>
              <w:t>Iznos u KM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0E" w:rsidRPr="00A5427C" w:rsidRDefault="0001200E" w:rsidP="00A02927">
            <w:pPr>
              <w:jc w:val="center"/>
              <w:rPr>
                <w:rFonts w:asciiTheme="minorHAnsi" w:hAnsiTheme="minorHAnsi" w:cs="Arial"/>
              </w:rPr>
            </w:pPr>
            <w:r w:rsidRPr="00A5427C">
              <w:rPr>
                <w:rFonts w:asciiTheme="minorHAnsi" w:hAnsiTheme="minorHAnsi" w:cs="Arial"/>
              </w:rPr>
              <w:t>Iznos u KM</w:t>
            </w:r>
          </w:p>
        </w:tc>
      </w:tr>
      <w:tr w:rsidR="002B0BFF" w:rsidRPr="00A5427C" w:rsidTr="00400B6E">
        <w:trPr>
          <w:gridAfter w:val="1"/>
          <w:wAfter w:w="222" w:type="dxa"/>
          <w:trHeight w:val="290"/>
        </w:trPr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BFF" w:rsidRPr="00A5427C" w:rsidRDefault="002B0BFF" w:rsidP="00A02927">
            <w:pPr>
              <w:rPr>
                <w:rFonts w:asciiTheme="minorHAnsi" w:hAnsiTheme="minorHAnsi" w:cs="Arial"/>
              </w:rPr>
            </w:pPr>
            <w:r w:rsidRPr="00A5427C">
              <w:rPr>
                <w:rFonts w:asciiTheme="minorHAnsi" w:hAnsiTheme="minorHAnsi" w:cs="Arial"/>
              </w:rPr>
              <w:t> 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B0BFF" w:rsidRPr="00A5427C" w:rsidRDefault="00F048B9" w:rsidP="00A02927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31.12.2024</w:t>
            </w:r>
            <w:r w:rsidR="002B0BFF" w:rsidRPr="00A5427C">
              <w:rPr>
                <w:rFonts w:asciiTheme="minorHAnsi" w:hAnsiTheme="minorHAnsi" w:cs="Arial"/>
              </w:rPr>
              <w:t>.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BFF" w:rsidRPr="00A5427C" w:rsidRDefault="00F048B9" w:rsidP="007D6C3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31.12.2023</w:t>
            </w:r>
            <w:r w:rsidR="002B0BFF" w:rsidRPr="00A5427C">
              <w:rPr>
                <w:rFonts w:asciiTheme="minorHAnsi" w:hAnsiTheme="minorHAnsi" w:cs="Arial"/>
              </w:rPr>
              <w:t>.</w:t>
            </w:r>
          </w:p>
        </w:tc>
      </w:tr>
      <w:tr w:rsidR="002B0BFF" w:rsidRPr="00864A49" w:rsidTr="00400B6E">
        <w:trPr>
          <w:gridAfter w:val="1"/>
          <w:wAfter w:w="222" w:type="dxa"/>
          <w:trHeight w:val="290"/>
        </w:trPr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BFF" w:rsidRPr="00A5427C" w:rsidRDefault="00A5427C" w:rsidP="00A02927">
            <w:pPr>
              <w:rPr>
                <w:rFonts w:asciiTheme="minorHAnsi" w:hAnsiTheme="minorHAnsi" w:cs="Arial"/>
              </w:rPr>
            </w:pPr>
            <w:proofErr w:type="spellStart"/>
            <w:r w:rsidRPr="00A5427C">
              <w:rPr>
                <w:rFonts w:asciiTheme="minorHAnsi" w:hAnsiTheme="minorHAnsi" w:cs="Arial"/>
              </w:rPr>
              <w:t>Dobavljači</w:t>
            </w:r>
            <w:proofErr w:type="spellEnd"/>
            <w:r w:rsidRPr="00A5427C">
              <w:rPr>
                <w:rFonts w:asciiTheme="minorHAnsi" w:hAnsiTheme="minorHAnsi" w:cs="Arial"/>
              </w:rPr>
              <w:t xml:space="preserve">- </w:t>
            </w:r>
            <w:proofErr w:type="spellStart"/>
            <w:r w:rsidRPr="00A5427C">
              <w:rPr>
                <w:rFonts w:asciiTheme="minorHAnsi" w:hAnsiTheme="minorHAnsi" w:cs="Arial"/>
              </w:rPr>
              <w:t>povezana</w:t>
            </w:r>
            <w:proofErr w:type="spellEnd"/>
            <w:r w:rsidRPr="00A5427C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5427C">
              <w:rPr>
                <w:rFonts w:asciiTheme="minorHAnsi" w:hAnsiTheme="minorHAnsi" w:cs="Arial"/>
              </w:rPr>
              <w:t>pravna</w:t>
            </w:r>
            <w:proofErr w:type="spellEnd"/>
            <w:r w:rsidRPr="00A5427C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5427C">
              <w:rPr>
                <w:rFonts w:asciiTheme="minorHAnsi" w:hAnsiTheme="minorHAnsi" w:cs="Arial"/>
              </w:rPr>
              <w:t>lica</w:t>
            </w:r>
            <w:proofErr w:type="spellEnd"/>
            <w:r w:rsidRPr="00A5427C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B0BFF" w:rsidRPr="00A5427C" w:rsidRDefault="00F048B9" w:rsidP="00A02927">
            <w:pPr>
              <w:jc w:val="right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15.109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BFF" w:rsidRPr="00864A49" w:rsidRDefault="00F048B9" w:rsidP="00B91287">
            <w:pPr>
              <w:jc w:val="right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13.378</w:t>
            </w:r>
          </w:p>
        </w:tc>
      </w:tr>
      <w:tr w:rsidR="00A5427C" w:rsidRPr="00864A49" w:rsidTr="00400B6E">
        <w:trPr>
          <w:gridAfter w:val="1"/>
          <w:wAfter w:w="222" w:type="dxa"/>
          <w:trHeight w:val="290"/>
        </w:trPr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27C" w:rsidRPr="00A5427C" w:rsidRDefault="00A5427C" w:rsidP="00A02927">
            <w:pPr>
              <w:rPr>
                <w:rFonts w:asciiTheme="minorHAnsi" w:hAnsiTheme="minorHAnsi" w:cs="Arial"/>
              </w:rPr>
            </w:pPr>
            <w:proofErr w:type="spellStart"/>
            <w:r w:rsidRPr="00A5427C">
              <w:rPr>
                <w:rFonts w:asciiTheme="minorHAnsi" w:hAnsiTheme="minorHAnsi" w:cs="Arial"/>
              </w:rPr>
              <w:t>Dobavljači</w:t>
            </w:r>
            <w:proofErr w:type="spellEnd"/>
            <w:r w:rsidRPr="00A5427C">
              <w:rPr>
                <w:rFonts w:asciiTheme="minorHAnsi" w:hAnsiTheme="minorHAnsi" w:cs="Arial"/>
              </w:rPr>
              <w:t xml:space="preserve"> u </w:t>
            </w:r>
            <w:proofErr w:type="spellStart"/>
            <w:r w:rsidRPr="00A5427C">
              <w:rPr>
                <w:rFonts w:asciiTheme="minorHAnsi" w:hAnsiTheme="minorHAnsi" w:cs="Arial"/>
              </w:rPr>
              <w:t>Republici</w:t>
            </w:r>
            <w:proofErr w:type="spellEnd"/>
            <w:r w:rsidRPr="00A5427C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5427C">
              <w:rPr>
                <w:rFonts w:asciiTheme="minorHAnsi" w:hAnsiTheme="minorHAnsi" w:cs="Arial"/>
              </w:rPr>
              <w:t>Srpskoj</w:t>
            </w:r>
            <w:proofErr w:type="spellEnd"/>
            <w:r w:rsidRPr="00A5427C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5427C" w:rsidRPr="00A5427C" w:rsidRDefault="00F048B9" w:rsidP="004E06DB">
            <w:pPr>
              <w:jc w:val="right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35.457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27C" w:rsidRPr="00864A49" w:rsidRDefault="00F048B9" w:rsidP="00B91287">
            <w:pPr>
              <w:jc w:val="right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29.475</w:t>
            </w:r>
          </w:p>
        </w:tc>
      </w:tr>
      <w:tr w:rsidR="00A5427C" w:rsidRPr="00864A49" w:rsidTr="00400B6E">
        <w:trPr>
          <w:gridAfter w:val="1"/>
          <w:wAfter w:w="222" w:type="dxa"/>
          <w:trHeight w:val="290"/>
        </w:trPr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27C" w:rsidRPr="00A5427C" w:rsidRDefault="00A5427C" w:rsidP="00A5427C">
            <w:pPr>
              <w:rPr>
                <w:rFonts w:asciiTheme="minorHAnsi" w:hAnsiTheme="minorHAnsi" w:cs="Arial"/>
              </w:rPr>
            </w:pPr>
            <w:proofErr w:type="spellStart"/>
            <w:r w:rsidRPr="00A5427C">
              <w:rPr>
                <w:rFonts w:asciiTheme="minorHAnsi" w:hAnsiTheme="minorHAnsi" w:cs="Arial"/>
              </w:rPr>
              <w:t>Dobavljači</w:t>
            </w:r>
            <w:proofErr w:type="spellEnd"/>
            <w:r w:rsidRPr="00A5427C">
              <w:rPr>
                <w:rFonts w:asciiTheme="minorHAnsi" w:hAnsiTheme="minorHAnsi" w:cs="Arial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</w:rPr>
              <w:t>iz</w:t>
            </w:r>
            <w:proofErr w:type="spellEnd"/>
            <w:r>
              <w:rPr>
                <w:rFonts w:asciiTheme="minorHAnsi" w:hAnsiTheme="minorHAnsi" w:cs="Arial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</w:rPr>
              <w:t>inostranstva</w:t>
            </w:r>
            <w:proofErr w:type="spellEnd"/>
            <w:r>
              <w:rPr>
                <w:rFonts w:asciiTheme="minorHAnsi" w:hAnsiTheme="minorHAnsi" w:cs="Arial"/>
              </w:rPr>
              <w:t xml:space="preserve"> </w:t>
            </w:r>
            <w:r w:rsidRPr="00A5427C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5427C" w:rsidRPr="00A5427C" w:rsidRDefault="00A5427C" w:rsidP="00A02927">
            <w:pPr>
              <w:jc w:val="right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986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27C" w:rsidRPr="00864A49" w:rsidRDefault="00864A49" w:rsidP="00B91287">
            <w:pPr>
              <w:jc w:val="right"/>
              <w:rPr>
                <w:rFonts w:asciiTheme="minorHAnsi" w:hAnsiTheme="minorHAnsi" w:cs="Arial"/>
                <w:color w:val="000000" w:themeColor="text1"/>
              </w:rPr>
            </w:pPr>
            <w:r w:rsidRPr="00864A49">
              <w:rPr>
                <w:rFonts w:asciiTheme="minorHAnsi" w:hAnsiTheme="minorHAnsi" w:cs="Arial"/>
                <w:color w:val="000000" w:themeColor="text1"/>
              </w:rPr>
              <w:t>986</w:t>
            </w:r>
          </w:p>
        </w:tc>
      </w:tr>
      <w:tr w:rsidR="00A5427C" w:rsidRPr="00864A49" w:rsidTr="00400B6E">
        <w:trPr>
          <w:gridAfter w:val="1"/>
          <w:wAfter w:w="222" w:type="dxa"/>
          <w:trHeight w:val="290"/>
        </w:trPr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7C" w:rsidRPr="00A5427C" w:rsidRDefault="00A5427C" w:rsidP="00A02927">
            <w:pPr>
              <w:rPr>
                <w:rFonts w:asciiTheme="minorHAnsi" w:hAnsiTheme="minorHAnsi" w:cs="Arial"/>
              </w:rPr>
            </w:pPr>
            <w:proofErr w:type="spellStart"/>
            <w:r w:rsidRPr="00A5427C">
              <w:rPr>
                <w:rFonts w:asciiTheme="minorHAnsi" w:hAnsiTheme="minorHAnsi" w:cs="Arial"/>
              </w:rPr>
              <w:t>Ob</w:t>
            </w:r>
            <w:r>
              <w:rPr>
                <w:rFonts w:asciiTheme="minorHAnsi" w:hAnsiTheme="minorHAnsi" w:cs="Arial"/>
              </w:rPr>
              <w:t>a</w:t>
            </w:r>
            <w:r w:rsidRPr="00A5427C">
              <w:rPr>
                <w:rFonts w:asciiTheme="minorHAnsi" w:hAnsiTheme="minorHAnsi" w:cs="Arial"/>
              </w:rPr>
              <w:t>veze</w:t>
            </w:r>
            <w:proofErr w:type="spellEnd"/>
            <w:r w:rsidRPr="00A5427C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5427C">
              <w:rPr>
                <w:rFonts w:asciiTheme="minorHAnsi" w:hAnsiTheme="minorHAnsi" w:cs="Arial"/>
              </w:rPr>
              <w:t>za</w:t>
            </w:r>
            <w:proofErr w:type="spellEnd"/>
            <w:r w:rsidRPr="00A5427C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5427C">
              <w:rPr>
                <w:rFonts w:asciiTheme="minorHAnsi" w:hAnsiTheme="minorHAnsi" w:cs="Arial"/>
              </w:rPr>
              <w:t>ostale</w:t>
            </w:r>
            <w:proofErr w:type="spellEnd"/>
            <w:r w:rsidRPr="00A5427C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5427C">
              <w:rPr>
                <w:rFonts w:asciiTheme="minorHAnsi" w:hAnsiTheme="minorHAnsi" w:cs="Arial"/>
              </w:rPr>
              <w:t>poreze</w:t>
            </w:r>
            <w:proofErr w:type="spellEnd"/>
            <w:r w:rsidRPr="00A5427C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5427C" w:rsidRPr="00A5427C" w:rsidRDefault="00A5427C" w:rsidP="00A5427C">
            <w:pPr>
              <w:jc w:val="right"/>
              <w:rPr>
                <w:rFonts w:asciiTheme="minorHAnsi" w:hAnsiTheme="minorHAnsi" w:cs="Arial"/>
                <w:color w:val="000000" w:themeColor="text1"/>
              </w:rPr>
            </w:pPr>
            <w:r w:rsidRPr="00A5427C">
              <w:rPr>
                <w:rFonts w:asciiTheme="minorHAnsi" w:hAnsiTheme="minorHAnsi" w:cs="Arial"/>
                <w:color w:val="000000" w:themeColor="text1"/>
              </w:rPr>
              <w:t>1.</w:t>
            </w:r>
            <w:r w:rsidR="00F048B9">
              <w:rPr>
                <w:rFonts w:asciiTheme="minorHAnsi" w:hAnsiTheme="minorHAnsi" w:cs="Arial"/>
                <w:color w:val="000000" w:themeColor="text1"/>
              </w:rPr>
              <w:t>848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7C" w:rsidRPr="00864A49" w:rsidRDefault="00F048B9" w:rsidP="00065707">
            <w:pPr>
              <w:jc w:val="right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1.697</w:t>
            </w:r>
          </w:p>
        </w:tc>
      </w:tr>
      <w:tr w:rsidR="00A5427C" w:rsidRPr="00864A49" w:rsidTr="00400B6E">
        <w:trPr>
          <w:gridAfter w:val="1"/>
          <w:wAfter w:w="222" w:type="dxa"/>
          <w:trHeight w:val="290"/>
        </w:trPr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27C" w:rsidRPr="00A5427C" w:rsidRDefault="00A5427C" w:rsidP="00A02927">
            <w:pPr>
              <w:rPr>
                <w:rFonts w:asciiTheme="minorHAnsi" w:hAnsiTheme="minorHAnsi" w:cs="Arial"/>
              </w:rPr>
            </w:pPr>
            <w:proofErr w:type="spellStart"/>
            <w:r>
              <w:rPr>
                <w:rFonts w:asciiTheme="minorHAnsi" w:hAnsiTheme="minorHAnsi" w:cs="Arial"/>
              </w:rPr>
              <w:t>Ostale</w:t>
            </w:r>
            <w:proofErr w:type="spellEnd"/>
            <w:r>
              <w:rPr>
                <w:rFonts w:asciiTheme="minorHAnsi" w:hAnsiTheme="minorHAnsi" w:cs="Arial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</w:rPr>
              <w:t>obaveze</w:t>
            </w:r>
            <w:proofErr w:type="spellEnd"/>
            <w:r>
              <w:rPr>
                <w:rFonts w:asciiTheme="minorHAnsi" w:hAnsiTheme="minorHAnsi" w:cs="Arial"/>
              </w:rPr>
              <w:t xml:space="preserve"> , </w:t>
            </w:r>
            <w:proofErr w:type="spellStart"/>
            <w:r>
              <w:rPr>
                <w:rFonts w:asciiTheme="minorHAnsi" w:hAnsiTheme="minorHAnsi" w:cs="Arial"/>
              </w:rPr>
              <w:t>castodi</w:t>
            </w:r>
            <w:proofErr w:type="spellEnd"/>
            <w:r>
              <w:rPr>
                <w:rFonts w:asciiTheme="minorHAnsi" w:hAnsiTheme="minorHAnsi" w:cs="Arial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</w:rPr>
              <w:t>naknada</w:t>
            </w:r>
            <w:proofErr w:type="spellEnd"/>
            <w:r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5427C" w:rsidRPr="00A5427C" w:rsidRDefault="00F048B9" w:rsidP="00A5427C">
            <w:pPr>
              <w:jc w:val="right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27C" w:rsidRPr="00864A49" w:rsidRDefault="00F048B9" w:rsidP="00065707">
            <w:pPr>
              <w:jc w:val="right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156</w:t>
            </w:r>
          </w:p>
        </w:tc>
      </w:tr>
      <w:tr w:rsidR="00864A49" w:rsidRPr="00864A49" w:rsidTr="00400B6E">
        <w:trPr>
          <w:gridAfter w:val="1"/>
          <w:wAfter w:w="222" w:type="dxa"/>
          <w:trHeight w:val="290"/>
        </w:trPr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A49" w:rsidRDefault="00864A49" w:rsidP="00A02927">
            <w:pPr>
              <w:rPr>
                <w:rFonts w:asciiTheme="minorHAnsi" w:hAnsiTheme="minorHAnsi" w:cs="Arial"/>
              </w:rPr>
            </w:pPr>
            <w:proofErr w:type="spellStart"/>
            <w:r>
              <w:rPr>
                <w:rFonts w:asciiTheme="minorHAnsi" w:hAnsiTheme="minorHAnsi" w:cs="Arial"/>
              </w:rPr>
              <w:t>Obaveze</w:t>
            </w:r>
            <w:proofErr w:type="spellEnd"/>
            <w:r>
              <w:rPr>
                <w:rFonts w:asciiTheme="minorHAnsi" w:hAnsiTheme="minorHAnsi" w:cs="Arial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</w:rPr>
              <w:t>za</w:t>
            </w:r>
            <w:proofErr w:type="spellEnd"/>
            <w:r>
              <w:rPr>
                <w:rFonts w:asciiTheme="minorHAnsi" w:hAnsiTheme="minorHAnsi" w:cs="Arial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</w:rPr>
              <w:t>porez</w:t>
            </w:r>
            <w:proofErr w:type="spellEnd"/>
            <w:r>
              <w:rPr>
                <w:rFonts w:asciiTheme="minorHAnsi" w:hAnsiTheme="minorHAnsi" w:cs="Arial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</w:rPr>
              <w:t>na</w:t>
            </w:r>
            <w:proofErr w:type="spellEnd"/>
            <w:r>
              <w:rPr>
                <w:rFonts w:asciiTheme="minorHAnsi" w:hAnsiTheme="minorHAnsi" w:cs="Arial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</w:rPr>
              <w:t>dobit</w:t>
            </w:r>
            <w:proofErr w:type="spellEnd"/>
            <w:r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64A49" w:rsidRDefault="00F048B9" w:rsidP="00A5427C">
            <w:pPr>
              <w:jc w:val="right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51.290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A49" w:rsidRPr="00864A49" w:rsidRDefault="00F048B9" w:rsidP="00065707">
            <w:pPr>
              <w:jc w:val="right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69.048</w:t>
            </w:r>
          </w:p>
        </w:tc>
      </w:tr>
      <w:tr w:rsidR="00A5427C" w:rsidRPr="00864A49" w:rsidTr="00400B6E">
        <w:trPr>
          <w:gridAfter w:val="1"/>
          <w:wAfter w:w="222" w:type="dxa"/>
          <w:trHeight w:val="290"/>
        </w:trPr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7C" w:rsidRPr="00A5427C" w:rsidRDefault="00A5427C" w:rsidP="00A02927">
            <w:pPr>
              <w:rPr>
                <w:rFonts w:asciiTheme="minorHAnsi" w:hAnsiTheme="minorHAnsi" w:cs="Arial"/>
              </w:rPr>
            </w:pPr>
            <w:r w:rsidRPr="00A5427C">
              <w:rPr>
                <w:rFonts w:asciiTheme="minorHAnsi" w:hAnsiTheme="minorHAnsi" w:cs="Arial"/>
              </w:rPr>
              <w:t xml:space="preserve">UKUPNO 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2883" w:rsidRPr="00A5427C" w:rsidRDefault="00F048B9" w:rsidP="004E06DB">
            <w:pPr>
              <w:jc w:val="right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104.690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7C" w:rsidRPr="00864A49" w:rsidRDefault="00F048B9" w:rsidP="00F048B9">
            <w:pPr>
              <w:jc w:val="right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114.740</w:t>
            </w:r>
          </w:p>
        </w:tc>
      </w:tr>
      <w:tr w:rsidR="00A5427C" w:rsidRPr="00085957" w:rsidTr="00A02927">
        <w:trPr>
          <w:trHeight w:val="290"/>
        </w:trPr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7C" w:rsidRPr="00085957" w:rsidRDefault="00A5427C" w:rsidP="00E86A18">
            <w:pPr>
              <w:tabs>
                <w:tab w:val="left" w:pos="6510"/>
              </w:tabs>
              <w:jc w:val="both"/>
              <w:rPr>
                <w:rFonts w:asciiTheme="minorHAnsi" w:hAnsiTheme="minorHAnsi" w:cs="Arial"/>
                <w:b/>
              </w:rPr>
            </w:pPr>
          </w:p>
          <w:p w:rsidR="00A5427C" w:rsidRPr="00085957" w:rsidRDefault="00A5427C" w:rsidP="00E86A18">
            <w:pPr>
              <w:tabs>
                <w:tab w:val="left" w:pos="6510"/>
              </w:tabs>
              <w:jc w:val="both"/>
              <w:rPr>
                <w:rFonts w:asciiTheme="minorHAnsi" w:hAnsiTheme="minorHAnsi"/>
                <w:b/>
                <w:lang w:val="hr-HR"/>
              </w:rPr>
            </w:pPr>
            <w:r w:rsidRPr="00085957">
              <w:rPr>
                <w:rFonts w:asciiTheme="minorHAnsi" w:hAnsiTheme="minorHAnsi"/>
                <w:b/>
                <w:lang w:val="hr-HR"/>
              </w:rPr>
              <w:t xml:space="preserve">NAPOMENE UZ BILANS USPJEHA </w:t>
            </w:r>
          </w:p>
          <w:p w:rsidR="00A5427C" w:rsidRPr="00085957" w:rsidRDefault="00A5427C" w:rsidP="00A02927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7C" w:rsidRPr="00085957" w:rsidRDefault="00A5427C" w:rsidP="00A02927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7C" w:rsidRPr="00085957" w:rsidRDefault="00A5427C" w:rsidP="00A02927">
            <w:pPr>
              <w:rPr>
                <w:rFonts w:asciiTheme="minorHAnsi" w:hAnsiTheme="minorHAnsi" w:cs="Arial"/>
                <w:b/>
                <w:highlight w:val="yellow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7C" w:rsidRPr="00085957" w:rsidRDefault="00A5427C" w:rsidP="00A02927">
            <w:pPr>
              <w:rPr>
                <w:rFonts w:asciiTheme="minorHAnsi" w:hAnsiTheme="minorHAnsi" w:cs="Arial"/>
                <w:b/>
                <w:highlight w:val="yello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27C" w:rsidRPr="00085957" w:rsidRDefault="00A5427C" w:rsidP="00A02927">
            <w:pPr>
              <w:rPr>
                <w:rFonts w:asciiTheme="minorHAnsi" w:hAnsiTheme="minorHAnsi" w:cs="Arial"/>
                <w:b/>
                <w:highlight w:val="yellow"/>
              </w:rPr>
            </w:pPr>
          </w:p>
        </w:tc>
      </w:tr>
    </w:tbl>
    <w:p w:rsidR="006827F4" w:rsidRPr="006858C7" w:rsidRDefault="00A542BA" w:rsidP="006858C7">
      <w:pPr>
        <w:pStyle w:val="ListParagraph"/>
        <w:numPr>
          <w:ilvl w:val="0"/>
          <w:numId w:val="13"/>
        </w:numPr>
        <w:jc w:val="both"/>
        <w:rPr>
          <w:rFonts w:asciiTheme="minorHAnsi" w:hAnsiTheme="minorHAnsi"/>
          <w:b/>
          <w:lang w:val="hr-HR"/>
        </w:rPr>
      </w:pPr>
      <w:r w:rsidRPr="006858C7">
        <w:rPr>
          <w:rFonts w:asciiTheme="minorHAnsi" w:hAnsiTheme="minorHAnsi"/>
          <w:b/>
          <w:lang w:val="hr-HR"/>
        </w:rPr>
        <w:t xml:space="preserve">Prihodi </w:t>
      </w:r>
    </w:p>
    <w:p w:rsidR="00A542BA" w:rsidRDefault="00A542BA" w:rsidP="0001200E">
      <w:pPr>
        <w:jc w:val="both"/>
        <w:rPr>
          <w:rFonts w:asciiTheme="minorHAnsi" w:hAnsiTheme="minorHAnsi"/>
          <w:lang w:val="hr-HR"/>
        </w:rPr>
      </w:pPr>
    </w:p>
    <w:p w:rsidR="004152F9" w:rsidRDefault="004152F9" w:rsidP="0001200E">
      <w:pPr>
        <w:jc w:val="both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 xml:space="preserve">NAKNADA ZA UPRAVLJANJE I IZLAZNA NAKNADA </w:t>
      </w:r>
    </w:p>
    <w:p w:rsidR="00FB6B11" w:rsidRDefault="00FB6B11" w:rsidP="0001200E">
      <w:pPr>
        <w:jc w:val="both"/>
        <w:rPr>
          <w:rFonts w:asciiTheme="minorHAnsi" w:hAnsiTheme="minorHAnsi"/>
          <w:lang w:val="hr-HR"/>
        </w:rPr>
      </w:pPr>
    </w:p>
    <w:p w:rsidR="00FB6B11" w:rsidRDefault="00FB6B11" w:rsidP="0001200E">
      <w:pPr>
        <w:jc w:val="both"/>
        <w:rPr>
          <w:rFonts w:asciiTheme="minorHAnsi" w:hAnsiTheme="minorHAnsi"/>
          <w:lang w:val="hr-HR"/>
        </w:rPr>
      </w:pPr>
    </w:p>
    <w:tbl>
      <w:tblPr>
        <w:tblW w:w="6100" w:type="dxa"/>
        <w:tblInd w:w="93" w:type="dxa"/>
        <w:tblLook w:val="04A0" w:firstRow="1" w:lastRow="0" w:firstColumn="1" w:lastColumn="0" w:noHBand="0" w:noVBand="1"/>
      </w:tblPr>
      <w:tblGrid>
        <w:gridCol w:w="1033"/>
        <w:gridCol w:w="1620"/>
        <w:gridCol w:w="1540"/>
        <w:gridCol w:w="1980"/>
      </w:tblGrid>
      <w:tr w:rsidR="00FB6B11" w:rsidRPr="00FB6B11" w:rsidTr="00FB6B11">
        <w:trPr>
          <w:trHeight w:val="6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B11" w:rsidRPr="00FB6B11" w:rsidRDefault="00FB6B11" w:rsidP="00FB6B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6B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Fond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B11" w:rsidRPr="00FB6B11" w:rsidRDefault="00FB6B11" w:rsidP="00FB6B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B6B11">
              <w:rPr>
                <w:rFonts w:ascii="Calibri" w:hAnsi="Calibri" w:cs="Calibri"/>
                <w:color w:val="000000"/>
                <w:sz w:val="22"/>
                <w:szCs w:val="22"/>
              </w:rPr>
              <w:t>Naknada</w:t>
            </w:r>
            <w:proofErr w:type="spellEnd"/>
            <w:r w:rsidRPr="00FB6B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6B11">
              <w:rPr>
                <w:rFonts w:ascii="Calibri" w:hAnsi="Calibri" w:cs="Calibri"/>
                <w:color w:val="000000"/>
                <w:sz w:val="22"/>
                <w:szCs w:val="22"/>
              </w:rPr>
              <w:t>za</w:t>
            </w:r>
            <w:proofErr w:type="spellEnd"/>
            <w:r w:rsidRPr="00FB6B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6B11">
              <w:rPr>
                <w:rFonts w:ascii="Calibri" w:hAnsi="Calibri" w:cs="Calibri"/>
                <w:color w:val="000000"/>
                <w:sz w:val="22"/>
                <w:szCs w:val="22"/>
              </w:rPr>
              <w:t>upravljanje</w:t>
            </w:r>
            <w:proofErr w:type="spellEnd"/>
            <w:r w:rsidRPr="00FB6B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B11" w:rsidRPr="00FB6B11" w:rsidRDefault="00FB6B11" w:rsidP="00FB6B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B6B11">
              <w:rPr>
                <w:rFonts w:ascii="Calibri" w:hAnsi="Calibri" w:cs="Calibri"/>
                <w:color w:val="000000"/>
                <w:sz w:val="22"/>
                <w:szCs w:val="22"/>
              </w:rPr>
              <w:t>Izlazna</w:t>
            </w:r>
            <w:proofErr w:type="spellEnd"/>
            <w:r w:rsidRPr="00FB6B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6B11">
              <w:rPr>
                <w:rFonts w:ascii="Calibri" w:hAnsi="Calibri" w:cs="Calibri"/>
                <w:color w:val="000000"/>
                <w:sz w:val="22"/>
                <w:szCs w:val="22"/>
              </w:rPr>
              <w:t>naknada</w:t>
            </w:r>
            <w:proofErr w:type="spellEnd"/>
            <w:r w:rsidRPr="00FB6B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B11" w:rsidRPr="00FB6B11" w:rsidRDefault="00FB6B11" w:rsidP="00FB6B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B6B11">
              <w:rPr>
                <w:rFonts w:ascii="Calibri" w:hAnsi="Calibri" w:cs="Calibri"/>
                <w:color w:val="000000"/>
                <w:sz w:val="22"/>
                <w:szCs w:val="22"/>
              </w:rPr>
              <w:t>Ukupno</w:t>
            </w:r>
            <w:proofErr w:type="spellEnd"/>
            <w:r w:rsidRPr="00FB6B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FB6B11" w:rsidRPr="00FB6B11" w:rsidTr="00FB6B1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B11" w:rsidRPr="00FB6B11" w:rsidRDefault="00FB6B11" w:rsidP="00FB6B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6B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Future fund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B11" w:rsidRPr="00FB6B11" w:rsidRDefault="00F048B9" w:rsidP="00FB6B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1.867.920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B11" w:rsidRPr="00FB6B11" w:rsidRDefault="00F048B9" w:rsidP="00FB6B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150.335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B11" w:rsidRPr="00FB6B11" w:rsidRDefault="00F048B9" w:rsidP="00F048B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2.018.255</w:t>
            </w:r>
          </w:p>
        </w:tc>
      </w:tr>
      <w:tr w:rsidR="00FB6B11" w:rsidRPr="00FB6B11" w:rsidTr="00FB6B1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B11" w:rsidRPr="00FB6B11" w:rsidRDefault="00FB6B11" w:rsidP="00FB6B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6B1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Maximus fund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B11" w:rsidRPr="00FB6B11" w:rsidRDefault="00FB6B11" w:rsidP="009379A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6B11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  <w:r w:rsidR="00F048B9">
              <w:rPr>
                <w:rFonts w:ascii="Calibri" w:hAnsi="Calibri" w:cs="Calibri"/>
                <w:color w:val="000000"/>
                <w:sz w:val="22"/>
                <w:szCs w:val="22"/>
              </w:rPr>
              <w:t>190.643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B11" w:rsidRPr="00FB6B11" w:rsidRDefault="00DE4C4C" w:rsidP="00FB6B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12.926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B11" w:rsidRPr="00FB6B11" w:rsidRDefault="00FB6B11" w:rsidP="00F048B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6B11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  <w:r w:rsidR="00F048B9">
              <w:rPr>
                <w:rFonts w:ascii="Calibri" w:hAnsi="Calibri" w:cs="Calibri"/>
                <w:color w:val="000000"/>
                <w:sz w:val="22"/>
                <w:szCs w:val="22"/>
              </w:rPr>
              <w:t>203.569</w:t>
            </w:r>
          </w:p>
        </w:tc>
      </w:tr>
      <w:tr w:rsidR="00FB6B11" w:rsidRPr="00FB6B11" w:rsidTr="00FB6B1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B11" w:rsidRPr="00FB6B11" w:rsidRDefault="00FB6B11" w:rsidP="00FB6B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B6B11">
              <w:rPr>
                <w:rFonts w:ascii="Calibri" w:hAnsi="Calibri" w:cs="Calibri"/>
                <w:color w:val="000000"/>
                <w:sz w:val="22"/>
                <w:szCs w:val="22"/>
              </w:rPr>
              <w:t>Ukupno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B11" w:rsidRPr="00FB6B11" w:rsidRDefault="00FB6B11" w:rsidP="00DE4C4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6B11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  <w:r w:rsidR="00DE4C4C">
              <w:rPr>
                <w:rFonts w:ascii="Calibri" w:hAnsi="Calibri" w:cs="Calibri"/>
                <w:color w:val="000000"/>
                <w:sz w:val="22"/>
                <w:szCs w:val="22"/>
              </w:rPr>
              <w:t>058.563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B11" w:rsidRPr="00FB6B11" w:rsidRDefault="00DE4C4C" w:rsidP="00FB6B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163.261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B11" w:rsidRPr="00FB6B11" w:rsidRDefault="00FB6B11" w:rsidP="00DE4C4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6B11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  <w:r w:rsidR="00DE4C4C">
              <w:rPr>
                <w:rFonts w:ascii="Calibri" w:hAnsi="Calibri" w:cs="Calibri"/>
                <w:color w:val="000000"/>
                <w:sz w:val="22"/>
                <w:szCs w:val="22"/>
              </w:rPr>
              <w:t>221.824</w:t>
            </w:r>
          </w:p>
        </w:tc>
      </w:tr>
    </w:tbl>
    <w:p w:rsidR="000E0B06" w:rsidRDefault="000E0B06" w:rsidP="000E0B06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p w:rsidR="000E0B06" w:rsidRPr="006858C7" w:rsidRDefault="000E0B06" w:rsidP="000E0B06">
      <w:pPr>
        <w:pStyle w:val="ListParagraph"/>
        <w:numPr>
          <w:ilvl w:val="0"/>
          <w:numId w:val="13"/>
        </w:num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  <w:r w:rsidRPr="006858C7">
        <w:rPr>
          <w:rFonts w:asciiTheme="minorHAnsi" w:hAnsiTheme="minorHAnsi"/>
          <w:b/>
          <w:lang w:val="hr-HR"/>
        </w:rPr>
        <w:t>K</w:t>
      </w:r>
      <w:r>
        <w:rPr>
          <w:rFonts w:asciiTheme="minorHAnsi" w:hAnsiTheme="minorHAnsi"/>
          <w:b/>
          <w:lang w:val="hr-HR"/>
        </w:rPr>
        <w:t>amate</w:t>
      </w:r>
      <w:r w:rsidRPr="006858C7">
        <w:rPr>
          <w:rFonts w:asciiTheme="minorHAnsi" w:hAnsiTheme="minorHAnsi"/>
          <w:b/>
          <w:lang w:val="hr-HR"/>
        </w:rPr>
        <w:t xml:space="preserve"> </w:t>
      </w:r>
    </w:p>
    <w:p w:rsidR="000E0B06" w:rsidRDefault="000E0B06" w:rsidP="000E0B06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tbl>
      <w:tblPr>
        <w:tblW w:w="7342" w:type="dxa"/>
        <w:tblInd w:w="93" w:type="dxa"/>
        <w:tblLook w:val="04A0" w:firstRow="1" w:lastRow="0" w:firstColumn="1" w:lastColumn="0" w:noHBand="0" w:noVBand="1"/>
      </w:tblPr>
      <w:tblGrid>
        <w:gridCol w:w="4600"/>
        <w:gridCol w:w="1371"/>
        <w:gridCol w:w="1371"/>
      </w:tblGrid>
      <w:tr w:rsidR="000E0B06" w:rsidRPr="001916F5" w:rsidTr="00FD700D">
        <w:trPr>
          <w:trHeight w:val="330"/>
        </w:trPr>
        <w:tc>
          <w:tcPr>
            <w:tcW w:w="4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B06" w:rsidRPr="00116792" w:rsidRDefault="000E0B06" w:rsidP="00FD700D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16792">
              <w:rPr>
                <w:rFonts w:ascii="Calibri" w:hAnsi="Calibri" w:cs="Calibri"/>
                <w:b/>
                <w:color w:val="000000"/>
              </w:rPr>
              <w:t xml:space="preserve">K A M A T E 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B06" w:rsidRPr="001916F5" w:rsidRDefault="000E0B06" w:rsidP="00FD700D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1916F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916F5">
              <w:rPr>
                <w:rFonts w:ascii="Calibri" w:hAnsi="Calibri" w:cs="Calibri"/>
                <w:color w:val="000000"/>
              </w:rPr>
              <w:t xml:space="preserve"> u KM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B06" w:rsidRPr="001916F5" w:rsidRDefault="000E0B06" w:rsidP="00FD700D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1916F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916F5">
              <w:rPr>
                <w:rFonts w:ascii="Calibri" w:hAnsi="Calibri" w:cs="Calibri"/>
                <w:color w:val="000000"/>
              </w:rPr>
              <w:t xml:space="preserve"> u KM</w:t>
            </w:r>
          </w:p>
        </w:tc>
      </w:tr>
      <w:tr w:rsidR="000E0B06" w:rsidRPr="001916F5" w:rsidTr="00FD700D">
        <w:trPr>
          <w:trHeight w:val="330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B06" w:rsidRPr="001916F5" w:rsidRDefault="000E0B06" w:rsidP="00FD700D">
            <w:pPr>
              <w:rPr>
                <w:rFonts w:ascii="Calibri" w:hAnsi="Calibri" w:cs="Calibri"/>
                <w:color w:val="000000"/>
              </w:rPr>
            </w:pPr>
            <w:r w:rsidRPr="001916F5">
              <w:rPr>
                <w:rFonts w:ascii="Calibri" w:hAnsi="Calibri" w:cs="Calibri"/>
                <w:color w:val="000000"/>
              </w:rPr>
              <w:t xml:space="preserve"> 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B06" w:rsidRPr="00194778" w:rsidRDefault="00194778" w:rsidP="00FD700D">
            <w:pPr>
              <w:jc w:val="center"/>
              <w:rPr>
                <w:rFonts w:ascii="Calibri" w:hAnsi="Calibri" w:cs="Calibri"/>
                <w:color w:val="000000"/>
              </w:rPr>
            </w:pPr>
            <w:r w:rsidRPr="00194778">
              <w:rPr>
                <w:rFonts w:ascii="Calibri" w:hAnsi="Calibri" w:cs="Calibri"/>
                <w:color w:val="000000"/>
              </w:rPr>
              <w:t>31.12.2024</w:t>
            </w:r>
            <w:r w:rsidR="000E0B06" w:rsidRPr="00194778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B06" w:rsidRPr="001916F5" w:rsidRDefault="00DE4C4C" w:rsidP="00FD700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31.12.2023</w:t>
            </w:r>
            <w:r w:rsidR="000E0B06" w:rsidRPr="001916F5"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0E0B06" w:rsidRPr="001916F5" w:rsidTr="00FD700D">
        <w:trPr>
          <w:trHeight w:val="33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0B06" w:rsidRPr="001916F5" w:rsidRDefault="000E0B06" w:rsidP="00FD700D">
            <w:pPr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1916F5">
              <w:rPr>
                <w:rFonts w:ascii="Calibri" w:hAnsi="Calibri" w:cs="Calibri"/>
                <w:b/>
                <w:bCs/>
                <w:color w:val="000000"/>
              </w:rPr>
              <w:t>Kamate</w:t>
            </w:r>
            <w:proofErr w:type="spellEnd"/>
            <w:r w:rsidRPr="001916F5">
              <w:rPr>
                <w:rFonts w:ascii="Calibri" w:hAnsi="Calibri" w:cs="Calibri"/>
                <w:b/>
                <w:bCs/>
                <w:color w:val="000000"/>
              </w:rPr>
              <w:t xml:space="preserve"> -  </w:t>
            </w:r>
            <w:proofErr w:type="spellStart"/>
            <w:r w:rsidRPr="001916F5">
              <w:rPr>
                <w:rFonts w:ascii="Calibri" w:hAnsi="Calibri" w:cs="Calibri"/>
                <w:b/>
                <w:bCs/>
                <w:color w:val="000000"/>
              </w:rPr>
              <w:t>oročeni</w:t>
            </w:r>
            <w:proofErr w:type="spellEnd"/>
            <w:r w:rsidRPr="001916F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916F5">
              <w:rPr>
                <w:rFonts w:ascii="Calibri" w:hAnsi="Calibri" w:cs="Calibri"/>
                <w:b/>
                <w:bCs/>
                <w:color w:val="000000"/>
              </w:rPr>
              <w:t>depoziti</w:t>
            </w:r>
            <w:proofErr w:type="spellEnd"/>
            <w:r w:rsidRPr="001916F5">
              <w:rPr>
                <w:rFonts w:ascii="Calibri" w:hAnsi="Calibri" w:cs="Calibri"/>
                <w:b/>
                <w:bCs/>
                <w:color w:val="000000"/>
              </w:rPr>
              <w:t xml:space="preserve">               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B06" w:rsidRPr="00194778" w:rsidRDefault="000E0B06" w:rsidP="00FD700D">
            <w:pPr>
              <w:jc w:val="right"/>
              <w:rPr>
                <w:rFonts w:ascii="Calibri" w:hAnsi="Calibri" w:cs="Calibri"/>
                <w:color w:val="000000"/>
              </w:rPr>
            </w:pPr>
            <w:r w:rsidRPr="0019477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B06" w:rsidRPr="001916F5" w:rsidRDefault="000E0B06" w:rsidP="00FD700D">
            <w:pPr>
              <w:jc w:val="right"/>
              <w:rPr>
                <w:rFonts w:ascii="Calibri" w:hAnsi="Calibri" w:cs="Calibri"/>
                <w:color w:val="000000"/>
              </w:rPr>
            </w:pPr>
            <w:r w:rsidRPr="001916F5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0E0B06" w:rsidRPr="001916F5" w:rsidTr="00FD700D">
        <w:trPr>
          <w:trHeight w:val="330"/>
        </w:trPr>
        <w:tc>
          <w:tcPr>
            <w:tcW w:w="4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0B06" w:rsidRPr="001916F5" w:rsidRDefault="000E0B06" w:rsidP="00FD700D">
            <w:pPr>
              <w:rPr>
                <w:rFonts w:ascii="Calibri" w:hAnsi="Calibri" w:cs="Calibri"/>
                <w:color w:val="000000"/>
              </w:rPr>
            </w:pPr>
            <w:r w:rsidRPr="001916F5">
              <w:rPr>
                <w:rFonts w:ascii="Calibri" w:hAnsi="Calibri" w:cs="Calibri"/>
                <w:color w:val="000000"/>
              </w:rPr>
              <w:t xml:space="preserve">MF Banka </w:t>
            </w:r>
            <w:proofErr w:type="spellStart"/>
            <w:r w:rsidRPr="001916F5">
              <w:rPr>
                <w:rFonts w:ascii="Calibri" w:hAnsi="Calibri" w:cs="Calibri"/>
                <w:color w:val="000000"/>
              </w:rPr>
              <w:t>a.d.</w:t>
            </w:r>
            <w:proofErr w:type="spellEnd"/>
            <w:r w:rsidRPr="001916F5">
              <w:rPr>
                <w:rFonts w:ascii="Calibri" w:hAnsi="Calibri" w:cs="Calibri"/>
                <w:color w:val="000000"/>
              </w:rPr>
              <w:t xml:space="preserve">, Banja Luka 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B06" w:rsidRPr="00194778" w:rsidRDefault="00A62D60" w:rsidP="00FD700D">
            <w:pPr>
              <w:jc w:val="right"/>
              <w:rPr>
                <w:rFonts w:ascii="Calibri" w:hAnsi="Calibri" w:cs="Calibri"/>
                <w:color w:val="000000"/>
              </w:rPr>
            </w:pPr>
            <w:r w:rsidRPr="00194778">
              <w:rPr>
                <w:rFonts w:ascii="Calibri" w:hAnsi="Calibri" w:cs="Calibri"/>
                <w:color w:val="000000"/>
              </w:rPr>
              <w:t>29.742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B06" w:rsidRPr="001916F5" w:rsidRDefault="00DE4C4C" w:rsidP="00FD700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7.281</w:t>
            </w:r>
          </w:p>
        </w:tc>
      </w:tr>
      <w:tr w:rsidR="000E0B06" w:rsidRPr="001916F5" w:rsidTr="00FD700D">
        <w:trPr>
          <w:trHeight w:val="330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0B06" w:rsidRPr="001916F5" w:rsidRDefault="000E0B06" w:rsidP="00FD700D">
            <w:pPr>
              <w:rPr>
                <w:rFonts w:ascii="Calibri" w:hAnsi="Calibri" w:cs="Calibri"/>
                <w:color w:val="000000"/>
              </w:rPr>
            </w:pPr>
            <w:r w:rsidRPr="001916F5">
              <w:rPr>
                <w:rFonts w:ascii="Calibri" w:hAnsi="Calibri" w:cs="Calibri"/>
                <w:color w:val="000000"/>
              </w:rPr>
              <w:t xml:space="preserve">BPŠ Banka </w:t>
            </w:r>
            <w:proofErr w:type="spellStart"/>
            <w:r w:rsidRPr="001916F5">
              <w:rPr>
                <w:rFonts w:ascii="Calibri" w:hAnsi="Calibri" w:cs="Calibri"/>
                <w:color w:val="000000"/>
              </w:rPr>
              <w:t>a.d.</w:t>
            </w:r>
            <w:proofErr w:type="spellEnd"/>
            <w:r w:rsidRPr="001916F5">
              <w:rPr>
                <w:rFonts w:ascii="Calibri" w:hAnsi="Calibri" w:cs="Calibri"/>
                <w:color w:val="000000"/>
              </w:rPr>
              <w:t xml:space="preserve">, Banja Luka 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B06" w:rsidRPr="00194778" w:rsidRDefault="00194778" w:rsidP="00FD700D">
            <w:pPr>
              <w:jc w:val="right"/>
              <w:rPr>
                <w:rFonts w:ascii="Calibri" w:hAnsi="Calibri" w:cs="Calibri"/>
                <w:color w:val="000000"/>
              </w:rPr>
            </w:pPr>
            <w:r w:rsidRPr="00194778">
              <w:rPr>
                <w:rFonts w:ascii="Calibri" w:hAnsi="Calibri" w:cs="Calibri"/>
                <w:color w:val="000000"/>
              </w:rPr>
              <w:t>18.412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B06" w:rsidRPr="001916F5" w:rsidRDefault="00DE4C4C" w:rsidP="00FD700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22.051</w:t>
            </w:r>
          </w:p>
        </w:tc>
      </w:tr>
      <w:tr w:rsidR="000E0B06" w:rsidRPr="001916F5" w:rsidTr="00FD700D">
        <w:trPr>
          <w:trHeight w:val="330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0B06" w:rsidRPr="001916F5" w:rsidRDefault="000E0B06" w:rsidP="00FD700D">
            <w:pPr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1916F5">
              <w:rPr>
                <w:rFonts w:ascii="Calibri" w:hAnsi="Calibri" w:cs="Calibri"/>
                <w:b/>
                <w:bCs/>
                <w:color w:val="000000"/>
              </w:rPr>
              <w:t>Ukupna</w:t>
            </w:r>
            <w:proofErr w:type="spellEnd"/>
            <w:r w:rsidRPr="001916F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916F5">
              <w:rPr>
                <w:rFonts w:ascii="Calibri" w:hAnsi="Calibri" w:cs="Calibri"/>
                <w:b/>
                <w:bCs/>
                <w:color w:val="000000"/>
              </w:rPr>
              <w:t>kamata</w:t>
            </w:r>
            <w:proofErr w:type="spellEnd"/>
            <w:r w:rsidRPr="001916F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916F5">
              <w:rPr>
                <w:rFonts w:ascii="Calibri" w:hAnsi="Calibri" w:cs="Calibri"/>
                <w:b/>
                <w:bCs/>
                <w:color w:val="000000"/>
              </w:rPr>
              <w:t>na</w:t>
            </w:r>
            <w:proofErr w:type="spellEnd"/>
            <w:r w:rsidRPr="001916F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916F5">
              <w:rPr>
                <w:rFonts w:ascii="Calibri" w:hAnsi="Calibri" w:cs="Calibri"/>
                <w:b/>
                <w:bCs/>
                <w:color w:val="000000"/>
              </w:rPr>
              <w:t>obveznice</w:t>
            </w:r>
            <w:proofErr w:type="spellEnd"/>
            <w:r w:rsidRPr="001916F5">
              <w:rPr>
                <w:rFonts w:ascii="Calibri" w:hAnsi="Calibri" w:cs="Calibri"/>
                <w:b/>
                <w:bCs/>
                <w:color w:val="000000"/>
              </w:rPr>
              <w:t xml:space="preserve">                                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B06" w:rsidRPr="00194778" w:rsidRDefault="00A62D60" w:rsidP="00FD700D">
            <w:pPr>
              <w:jc w:val="right"/>
              <w:rPr>
                <w:rFonts w:ascii="Calibri" w:hAnsi="Calibri" w:cs="Calibri"/>
                <w:color w:val="000000"/>
              </w:rPr>
            </w:pPr>
            <w:r w:rsidRPr="00194778">
              <w:rPr>
                <w:rFonts w:ascii="Calibri" w:hAnsi="Calibri" w:cs="Calibri"/>
                <w:color w:val="000000"/>
              </w:rPr>
              <w:t>124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B06" w:rsidRPr="001916F5" w:rsidRDefault="00DE4C4C" w:rsidP="00FD700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196</w:t>
            </w:r>
          </w:p>
        </w:tc>
      </w:tr>
      <w:tr w:rsidR="000E0B06" w:rsidRPr="001916F5" w:rsidTr="00FD700D">
        <w:trPr>
          <w:trHeight w:val="330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E0B06" w:rsidRPr="001916F5" w:rsidRDefault="000E0B06" w:rsidP="00FD700D">
            <w:pPr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Zatezne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kamate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B06" w:rsidRPr="00194778" w:rsidRDefault="00A62D60" w:rsidP="00FD700D">
            <w:pPr>
              <w:jc w:val="right"/>
              <w:rPr>
                <w:rFonts w:ascii="Calibri" w:hAnsi="Calibri" w:cs="Calibri"/>
                <w:color w:val="000000"/>
              </w:rPr>
            </w:pPr>
            <w:r w:rsidRPr="0019477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B06" w:rsidRDefault="00DE4C4C" w:rsidP="00FD700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845</w:t>
            </w:r>
          </w:p>
        </w:tc>
      </w:tr>
      <w:tr w:rsidR="000E0B06" w:rsidRPr="001916F5" w:rsidTr="00FD700D">
        <w:trPr>
          <w:trHeight w:val="330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0B06" w:rsidRPr="00116792" w:rsidRDefault="000E0B06" w:rsidP="00FD700D">
            <w:pPr>
              <w:rPr>
                <w:rFonts w:ascii="Calibri" w:hAnsi="Calibri" w:cs="Calibri"/>
                <w:b/>
                <w:color w:val="000000"/>
              </w:rPr>
            </w:pPr>
            <w:r w:rsidRPr="00116792">
              <w:rPr>
                <w:rFonts w:ascii="Calibri" w:hAnsi="Calibri" w:cs="Calibri"/>
                <w:b/>
                <w:color w:val="000000"/>
              </w:rPr>
              <w:t xml:space="preserve">UKUPNO 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B06" w:rsidRPr="00194778" w:rsidRDefault="00194778" w:rsidP="00FD700D">
            <w:pPr>
              <w:jc w:val="right"/>
              <w:rPr>
                <w:rFonts w:ascii="Calibri" w:hAnsi="Calibri" w:cs="Calibri"/>
                <w:color w:val="000000"/>
              </w:rPr>
            </w:pPr>
            <w:r w:rsidRPr="00194778">
              <w:rPr>
                <w:rFonts w:ascii="Calibri" w:hAnsi="Calibri" w:cs="Calibri"/>
                <w:color w:val="000000"/>
              </w:rPr>
              <w:t>48.278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B06" w:rsidRPr="001916F5" w:rsidRDefault="00DE4C4C" w:rsidP="00FD700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30.373</w:t>
            </w:r>
          </w:p>
        </w:tc>
      </w:tr>
    </w:tbl>
    <w:p w:rsidR="000E0B06" w:rsidRDefault="000E0B06" w:rsidP="0001200E">
      <w:pPr>
        <w:jc w:val="both"/>
        <w:rPr>
          <w:rFonts w:asciiTheme="minorHAnsi" w:hAnsiTheme="minorHAnsi"/>
          <w:lang w:val="hr-HR"/>
        </w:rPr>
      </w:pPr>
    </w:p>
    <w:p w:rsidR="00E66CFE" w:rsidRDefault="00E66CFE" w:rsidP="0001200E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p w:rsidR="00E66CFE" w:rsidRDefault="004117BB" w:rsidP="000E0B06">
      <w:pPr>
        <w:pStyle w:val="ListParagraph"/>
        <w:numPr>
          <w:ilvl w:val="0"/>
          <w:numId w:val="13"/>
        </w:num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  <w:r>
        <w:rPr>
          <w:rFonts w:asciiTheme="minorHAnsi" w:hAnsiTheme="minorHAnsi"/>
          <w:b/>
          <w:lang w:val="hr-HR"/>
        </w:rPr>
        <w:t>Dividende</w:t>
      </w:r>
      <w:r w:rsidR="005B5A3B">
        <w:rPr>
          <w:rFonts w:asciiTheme="minorHAnsi" w:hAnsiTheme="minorHAnsi"/>
          <w:b/>
          <w:lang w:val="hr-HR"/>
        </w:rPr>
        <w:t xml:space="preserve"> </w:t>
      </w:r>
    </w:p>
    <w:p w:rsidR="00736884" w:rsidRDefault="00736884" w:rsidP="0001200E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tbl>
      <w:tblPr>
        <w:tblW w:w="7280" w:type="dxa"/>
        <w:tblInd w:w="93" w:type="dxa"/>
        <w:tblLook w:val="04A0" w:firstRow="1" w:lastRow="0" w:firstColumn="1" w:lastColumn="0" w:noHBand="0" w:noVBand="1"/>
      </w:tblPr>
      <w:tblGrid>
        <w:gridCol w:w="4489"/>
        <w:gridCol w:w="1420"/>
        <w:gridCol w:w="1371"/>
      </w:tblGrid>
      <w:tr w:rsidR="008C0576" w:rsidRPr="008C0576" w:rsidTr="00203C40">
        <w:trPr>
          <w:trHeight w:val="330"/>
        </w:trPr>
        <w:tc>
          <w:tcPr>
            <w:tcW w:w="4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0576" w:rsidRPr="008C0576" w:rsidRDefault="008C0576" w:rsidP="008C0576">
            <w:pPr>
              <w:jc w:val="center"/>
              <w:rPr>
                <w:rFonts w:ascii="Calibri" w:hAnsi="Calibri" w:cs="Calibri"/>
                <w:color w:val="000000"/>
              </w:rPr>
            </w:pPr>
            <w:r w:rsidRPr="008C0576">
              <w:rPr>
                <w:rFonts w:ascii="Calibri" w:hAnsi="Calibri" w:cs="Calibri"/>
                <w:color w:val="000000"/>
              </w:rPr>
              <w:t xml:space="preserve">E M I T E N T 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0576" w:rsidRPr="008C0576" w:rsidRDefault="008C0576" w:rsidP="008C057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8C0576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8C0576">
              <w:rPr>
                <w:rFonts w:ascii="Calibri" w:hAnsi="Calibri" w:cs="Calibri"/>
                <w:color w:val="000000"/>
              </w:rPr>
              <w:t xml:space="preserve"> u KM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0576" w:rsidRPr="008C0576" w:rsidRDefault="008C0576" w:rsidP="008C057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8C0576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8C0576">
              <w:rPr>
                <w:rFonts w:ascii="Calibri" w:hAnsi="Calibri" w:cs="Calibri"/>
                <w:color w:val="000000"/>
              </w:rPr>
              <w:t xml:space="preserve"> u KM</w:t>
            </w:r>
          </w:p>
        </w:tc>
      </w:tr>
      <w:tr w:rsidR="008C0576" w:rsidRPr="008C0576" w:rsidTr="00203C40">
        <w:trPr>
          <w:trHeight w:val="330"/>
        </w:trPr>
        <w:tc>
          <w:tcPr>
            <w:tcW w:w="44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0576" w:rsidRPr="008C0576" w:rsidRDefault="008C0576" w:rsidP="008C0576">
            <w:pPr>
              <w:rPr>
                <w:rFonts w:ascii="Calibri" w:hAnsi="Calibri" w:cs="Calibri"/>
                <w:color w:val="000000"/>
              </w:rPr>
            </w:pPr>
            <w:r w:rsidRPr="008C057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0576" w:rsidRPr="00A5136F" w:rsidRDefault="00194778" w:rsidP="008C0576">
            <w:pPr>
              <w:jc w:val="center"/>
              <w:rPr>
                <w:rFonts w:ascii="Calibri" w:hAnsi="Calibri" w:cs="Calibri"/>
                <w:color w:val="000000"/>
              </w:rPr>
            </w:pPr>
            <w:r w:rsidRPr="00A5136F">
              <w:rPr>
                <w:rFonts w:ascii="Calibri" w:hAnsi="Calibri" w:cs="Calibri"/>
                <w:color w:val="000000"/>
              </w:rPr>
              <w:t>31.12.2024</w:t>
            </w:r>
            <w:r w:rsidR="008C0576" w:rsidRPr="00A5136F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0576" w:rsidRPr="008C0576" w:rsidRDefault="00DE4C4C" w:rsidP="008C057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31.12.2023</w:t>
            </w:r>
            <w:r w:rsidR="008C0576" w:rsidRPr="008C0576"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8C0576" w:rsidRPr="008C0576" w:rsidTr="00203C40">
        <w:trPr>
          <w:trHeight w:val="330"/>
        </w:trPr>
        <w:tc>
          <w:tcPr>
            <w:tcW w:w="44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0576" w:rsidRPr="008C0576" w:rsidRDefault="008C0576" w:rsidP="008C0576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8C0576">
              <w:rPr>
                <w:rFonts w:ascii="Calibri" w:hAnsi="Calibri" w:cs="Calibri"/>
                <w:color w:val="000000"/>
              </w:rPr>
              <w:t>Metalac</w:t>
            </w:r>
            <w:proofErr w:type="spellEnd"/>
            <w:r w:rsidRPr="008C0576">
              <w:rPr>
                <w:rFonts w:ascii="Calibri" w:hAnsi="Calibri" w:cs="Calibri"/>
                <w:color w:val="000000"/>
              </w:rPr>
              <w:t xml:space="preserve"> , </w:t>
            </w:r>
            <w:proofErr w:type="spellStart"/>
            <w:r w:rsidRPr="008C0576">
              <w:rPr>
                <w:rFonts w:ascii="Calibri" w:hAnsi="Calibri" w:cs="Calibri"/>
                <w:color w:val="000000"/>
              </w:rPr>
              <w:t>Gornji</w:t>
            </w:r>
            <w:proofErr w:type="spellEnd"/>
            <w:r w:rsidRPr="008C05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8C0576">
              <w:rPr>
                <w:rFonts w:ascii="Calibri" w:hAnsi="Calibri" w:cs="Calibri"/>
                <w:color w:val="000000"/>
              </w:rPr>
              <w:t>Milanovac</w:t>
            </w:r>
            <w:proofErr w:type="spellEnd"/>
            <w:r w:rsidRPr="008C0576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0576" w:rsidRPr="00A5136F" w:rsidRDefault="00A5136F" w:rsidP="008C0576">
            <w:pPr>
              <w:jc w:val="right"/>
              <w:rPr>
                <w:rFonts w:ascii="Calibri" w:hAnsi="Calibri" w:cs="Calibri"/>
                <w:color w:val="000000"/>
              </w:rPr>
            </w:pPr>
            <w:r w:rsidRPr="00A5136F">
              <w:rPr>
                <w:rFonts w:ascii="Calibri" w:hAnsi="Calibri" w:cs="Calibri"/>
                <w:color w:val="000000"/>
              </w:rPr>
              <w:t>361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0576" w:rsidRPr="008C0576" w:rsidRDefault="00DE4C4C" w:rsidP="008C057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360</w:t>
            </w:r>
          </w:p>
        </w:tc>
      </w:tr>
      <w:tr w:rsidR="008C0576" w:rsidRPr="008C0576" w:rsidTr="00203C40">
        <w:trPr>
          <w:trHeight w:val="330"/>
        </w:trPr>
        <w:tc>
          <w:tcPr>
            <w:tcW w:w="44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0576" w:rsidRPr="008C0576" w:rsidRDefault="008C0576" w:rsidP="008C0576">
            <w:pPr>
              <w:rPr>
                <w:rFonts w:ascii="Calibri" w:hAnsi="Calibri" w:cs="Calibri"/>
                <w:color w:val="000000"/>
              </w:rPr>
            </w:pPr>
            <w:r w:rsidRPr="008C0576">
              <w:rPr>
                <w:rFonts w:ascii="Calibri" w:hAnsi="Calibri" w:cs="Calibri"/>
                <w:color w:val="000000"/>
              </w:rPr>
              <w:t xml:space="preserve">Telekom </w:t>
            </w:r>
            <w:proofErr w:type="spellStart"/>
            <w:r w:rsidRPr="008C0576">
              <w:rPr>
                <w:rFonts w:ascii="Calibri" w:hAnsi="Calibri" w:cs="Calibri"/>
                <w:color w:val="000000"/>
              </w:rPr>
              <w:t>Crne</w:t>
            </w:r>
            <w:proofErr w:type="spellEnd"/>
            <w:r w:rsidRPr="008C0576">
              <w:rPr>
                <w:rFonts w:ascii="Calibri" w:hAnsi="Calibri" w:cs="Calibri"/>
                <w:color w:val="000000"/>
              </w:rPr>
              <w:t xml:space="preserve"> Gore, Podgorica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0576" w:rsidRPr="00A5136F" w:rsidRDefault="00A5136F" w:rsidP="008C0576">
            <w:pPr>
              <w:jc w:val="right"/>
              <w:rPr>
                <w:rFonts w:ascii="Calibri" w:hAnsi="Calibri" w:cs="Calibri"/>
                <w:color w:val="000000"/>
              </w:rPr>
            </w:pPr>
            <w:r w:rsidRPr="00A5136F">
              <w:rPr>
                <w:rFonts w:ascii="Calibri" w:hAnsi="Calibri" w:cs="Calibri"/>
                <w:color w:val="000000"/>
              </w:rPr>
              <w:t>1.290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0576" w:rsidRPr="008C0576" w:rsidRDefault="00DE4C4C" w:rsidP="008C057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538</w:t>
            </w:r>
          </w:p>
        </w:tc>
      </w:tr>
      <w:tr w:rsidR="008C0576" w:rsidRPr="008C0576" w:rsidTr="00203C40">
        <w:trPr>
          <w:trHeight w:val="330"/>
        </w:trPr>
        <w:tc>
          <w:tcPr>
            <w:tcW w:w="44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0576" w:rsidRPr="008C0576" w:rsidRDefault="008C0576" w:rsidP="008C0576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8C0576">
              <w:rPr>
                <w:rFonts w:ascii="Calibri" w:hAnsi="Calibri" w:cs="Calibri"/>
                <w:color w:val="000000"/>
              </w:rPr>
              <w:t>Valamar</w:t>
            </w:r>
            <w:proofErr w:type="spellEnd"/>
            <w:r w:rsidRPr="008C05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8C0576">
              <w:rPr>
                <w:rFonts w:ascii="Calibri" w:hAnsi="Calibri" w:cs="Calibri"/>
                <w:color w:val="000000"/>
              </w:rPr>
              <w:t>riviera</w:t>
            </w:r>
            <w:proofErr w:type="spellEnd"/>
            <w:r w:rsidRPr="008C05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8C0576">
              <w:rPr>
                <w:rFonts w:ascii="Calibri" w:hAnsi="Calibri" w:cs="Calibri"/>
                <w:color w:val="000000"/>
              </w:rPr>
              <w:t>d.d</w:t>
            </w:r>
            <w:proofErr w:type="spellEnd"/>
            <w:r w:rsidRPr="008C0576"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 w:rsidRPr="008C0576">
              <w:rPr>
                <w:rFonts w:ascii="Calibri" w:hAnsi="Calibri" w:cs="Calibri"/>
                <w:color w:val="000000"/>
              </w:rPr>
              <w:t>za</w:t>
            </w:r>
            <w:proofErr w:type="spellEnd"/>
            <w:r w:rsidRPr="008C05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8C0576">
              <w:rPr>
                <w:rFonts w:ascii="Calibri" w:hAnsi="Calibri" w:cs="Calibri"/>
                <w:color w:val="000000"/>
              </w:rPr>
              <w:t>turizam</w:t>
            </w:r>
            <w:proofErr w:type="spellEnd"/>
            <w:r w:rsidRPr="008C05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8C0576">
              <w:rPr>
                <w:rFonts w:ascii="Calibri" w:hAnsi="Calibri" w:cs="Calibri"/>
                <w:color w:val="000000"/>
              </w:rPr>
              <w:t>i</w:t>
            </w:r>
            <w:proofErr w:type="spellEnd"/>
            <w:r w:rsidRPr="008C05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8C0576">
              <w:rPr>
                <w:rFonts w:ascii="Calibri" w:hAnsi="Calibri" w:cs="Calibri"/>
                <w:color w:val="000000"/>
              </w:rPr>
              <w:t>ugostiteljstvo</w:t>
            </w:r>
            <w:proofErr w:type="spellEnd"/>
            <w:r w:rsidRPr="008C0576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0576" w:rsidRPr="00A5136F" w:rsidRDefault="00A5136F" w:rsidP="008C0576">
            <w:pPr>
              <w:jc w:val="right"/>
              <w:rPr>
                <w:rFonts w:ascii="Calibri" w:hAnsi="Calibri" w:cs="Calibri"/>
                <w:color w:val="000000"/>
              </w:rPr>
            </w:pPr>
            <w:r w:rsidRPr="00A5136F">
              <w:rPr>
                <w:rFonts w:ascii="Calibri" w:hAnsi="Calibri" w:cs="Calibri"/>
                <w:color w:val="000000"/>
              </w:rPr>
              <w:t>350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0576" w:rsidRPr="008C0576" w:rsidRDefault="00DE4C4C" w:rsidP="008C057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318</w:t>
            </w:r>
          </w:p>
        </w:tc>
      </w:tr>
      <w:tr w:rsidR="00203C40" w:rsidRPr="008C0576" w:rsidTr="00203C40">
        <w:trPr>
          <w:trHeight w:val="330"/>
        </w:trPr>
        <w:tc>
          <w:tcPr>
            <w:tcW w:w="44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03C40" w:rsidRPr="008C0576" w:rsidRDefault="00203C40" w:rsidP="008C057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HE </w:t>
            </w:r>
            <w:proofErr w:type="spellStart"/>
            <w:r>
              <w:rPr>
                <w:rFonts w:ascii="Calibri" w:hAnsi="Calibri" w:cs="Calibri"/>
                <w:color w:val="000000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Vrbasu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a.d.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Mrkonjić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Grad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03C40" w:rsidRPr="00A5136F" w:rsidRDefault="00A5136F" w:rsidP="008C0576">
            <w:pPr>
              <w:jc w:val="right"/>
              <w:rPr>
                <w:rFonts w:ascii="Calibri" w:hAnsi="Calibri" w:cs="Calibri"/>
                <w:color w:val="000000"/>
              </w:rPr>
            </w:pPr>
            <w:r w:rsidRPr="00A5136F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03C40" w:rsidRDefault="00DE4C4C" w:rsidP="008C057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51.511</w:t>
            </w:r>
          </w:p>
        </w:tc>
      </w:tr>
      <w:tr w:rsidR="00A5136F" w:rsidRPr="008C0576" w:rsidTr="00203C40">
        <w:trPr>
          <w:trHeight w:val="330"/>
        </w:trPr>
        <w:tc>
          <w:tcPr>
            <w:tcW w:w="44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136F" w:rsidRDefault="00A5136F" w:rsidP="008C0576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Elektrodoboj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a.d.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Doboj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136F" w:rsidRPr="00A5136F" w:rsidRDefault="00A5136F" w:rsidP="008C0576">
            <w:pPr>
              <w:jc w:val="right"/>
              <w:rPr>
                <w:rFonts w:ascii="Calibri" w:hAnsi="Calibri" w:cs="Calibri"/>
                <w:color w:val="000000"/>
              </w:rPr>
            </w:pPr>
            <w:r w:rsidRPr="00A5136F">
              <w:rPr>
                <w:rFonts w:ascii="Calibri" w:hAnsi="Calibri" w:cs="Calibri"/>
                <w:color w:val="000000"/>
              </w:rPr>
              <w:t>11.054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136F" w:rsidRDefault="00A5136F" w:rsidP="008C057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8C0576" w:rsidRPr="008C0576" w:rsidTr="00203C40">
        <w:trPr>
          <w:trHeight w:val="330"/>
        </w:trPr>
        <w:tc>
          <w:tcPr>
            <w:tcW w:w="44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0576" w:rsidRPr="008C0576" w:rsidRDefault="008C0576" w:rsidP="008C0576">
            <w:pPr>
              <w:rPr>
                <w:rFonts w:ascii="Calibri" w:hAnsi="Calibri" w:cs="Calibri"/>
                <w:color w:val="000000"/>
              </w:rPr>
            </w:pPr>
            <w:r w:rsidRPr="008C0576">
              <w:rPr>
                <w:rFonts w:ascii="Calibri" w:hAnsi="Calibri" w:cs="Calibri"/>
                <w:color w:val="000000"/>
              </w:rPr>
              <w:t xml:space="preserve">UKUPNO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0576" w:rsidRPr="00A5136F" w:rsidRDefault="00A5136F" w:rsidP="008C0576">
            <w:pPr>
              <w:jc w:val="right"/>
              <w:rPr>
                <w:rFonts w:ascii="Calibri" w:hAnsi="Calibri" w:cs="Calibri"/>
                <w:color w:val="000000"/>
              </w:rPr>
            </w:pPr>
            <w:r w:rsidRPr="00A5136F">
              <w:rPr>
                <w:rFonts w:ascii="Calibri" w:hAnsi="Calibri" w:cs="Calibri"/>
                <w:color w:val="000000"/>
              </w:rPr>
              <w:t>13.055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0576" w:rsidRPr="008C0576" w:rsidRDefault="00DE4C4C" w:rsidP="008C057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52.727</w:t>
            </w:r>
          </w:p>
        </w:tc>
      </w:tr>
    </w:tbl>
    <w:p w:rsidR="004152F9" w:rsidRDefault="004152F9" w:rsidP="0001200E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p w:rsidR="004152F9" w:rsidRDefault="004152F9" w:rsidP="0001200E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p w:rsidR="004117BB" w:rsidRDefault="00F60D6F" w:rsidP="0001200E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 xml:space="preserve">Ostali dobici u iznosu od </w:t>
      </w:r>
      <w:r w:rsidR="005334B4">
        <w:rPr>
          <w:rFonts w:asciiTheme="minorHAnsi" w:hAnsiTheme="minorHAnsi"/>
          <w:lang w:val="hr-HR"/>
        </w:rPr>
        <w:t xml:space="preserve">25.500 KM </w:t>
      </w:r>
      <w:r>
        <w:rPr>
          <w:rFonts w:asciiTheme="minorHAnsi" w:hAnsiTheme="minorHAnsi"/>
          <w:lang w:val="hr-HR"/>
        </w:rPr>
        <w:t>su</w:t>
      </w:r>
      <w:r w:rsidR="005334B4">
        <w:rPr>
          <w:rFonts w:asciiTheme="minorHAnsi" w:hAnsiTheme="minorHAnsi"/>
          <w:lang w:val="hr-HR"/>
        </w:rPr>
        <w:t xml:space="preserve"> neto dobici po osnovu zamjene auta.</w:t>
      </w:r>
    </w:p>
    <w:p w:rsidR="005334B4" w:rsidRDefault="005334B4" w:rsidP="0001200E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p w:rsidR="000E0B06" w:rsidRDefault="000E0B06" w:rsidP="000E0B06">
      <w:pPr>
        <w:pStyle w:val="ListParagraph"/>
        <w:numPr>
          <w:ilvl w:val="0"/>
          <w:numId w:val="13"/>
        </w:num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  <w:r w:rsidRPr="00C964F4">
        <w:rPr>
          <w:rFonts w:asciiTheme="minorHAnsi" w:hAnsiTheme="minorHAnsi"/>
          <w:b/>
          <w:lang w:val="hr-HR"/>
        </w:rPr>
        <w:t xml:space="preserve">Troškovi proizvodnih usluga </w:t>
      </w:r>
    </w:p>
    <w:p w:rsidR="000E0B06" w:rsidRDefault="000E0B06" w:rsidP="000E0B06">
      <w:pPr>
        <w:pStyle w:val="ListParagraph"/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</w:p>
    <w:tbl>
      <w:tblPr>
        <w:tblW w:w="7900" w:type="dxa"/>
        <w:tblInd w:w="93" w:type="dxa"/>
        <w:tblLook w:val="04A0" w:firstRow="1" w:lastRow="0" w:firstColumn="1" w:lastColumn="0" w:noHBand="0" w:noVBand="1"/>
      </w:tblPr>
      <w:tblGrid>
        <w:gridCol w:w="4840"/>
        <w:gridCol w:w="1820"/>
        <w:gridCol w:w="1371"/>
      </w:tblGrid>
      <w:tr w:rsidR="000E0B06" w:rsidRPr="00B16FBE" w:rsidTr="00FD700D">
        <w:trPr>
          <w:trHeight w:val="315"/>
        </w:trPr>
        <w:tc>
          <w:tcPr>
            <w:tcW w:w="48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B06" w:rsidRPr="00B16FBE" w:rsidRDefault="000E0B06" w:rsidP="00FD700D">
            <w:pPr>
              <w:jc w:val="center"/>
              <w:rPr>
                <w:rFonts w:ascii="Calibri" w:hAnsi="Calibri" w:cs="Calibri"/>
                <w:color w:val="000000"/>
              </w:rPr>
            </w:pPr>
            <w:r w:rsidRPr="00B16FB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B06" w:rsidRPr="003901F2" w:rsidRDefault="003901F2" w:rsidP="00FD700D">
            <w:pPr>
              <w:jc w:val="center"/>
              <w:rPr>
                <w:rFonts w:ascii="Calibri" w:hAnsi="Calibri" w:cs="Calibri"/>
                <w:color w:val="000000"/>
              </w:rPr>
            </w:pPr>
            <w:r w:rsidRPr="003901F2">
              <w:rPr>
                <w:rFonts w:ascii="Calibri" w:hAnsi="Calibri" w:cs="Calibri"/>
                <w:color w:val="000000"/>
              </w:rPr>
              <w:t>31.12.2024</w:t>
            </w:r>
            <w:r w:rsidR="000E0B06" w:rsidRPr="003901F2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B06" w:rsidRPr="00B16FBE" w:rsidRDefault="00EC4C84" w:rsidP="00FD700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31.12.2023</w:t>
            </w:r>
            <w:r w:rsidR="000E0B06" w:rsidRPr="00B16FBE"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0E0B06" w:rsidRPr="00B16FBE" w:rsidTr="00FD700D">
        <w:trPr>
          <w:trHeight w:val="33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B06" w:rsidRPr="00B16FBE" w:rsidRDefault="000E0B06" w:rsidP="00FD700D">
            <w:pPr>
              <w:jc w:val="center"/>
              <w:rPr>
                <w:rFonts w:ascii="Calibri" w:hAnsi="Calibri" w:cs="Calibri"/>
                <w:color w:val="000000"/>
              </w:rPr>
            </w:pPr>
            <w:r w:rsidRPr="00B16FBE">
              <w:rPr>
                <w:rFonts w:ascii="Calibri" w:hAnsi="Calibri" w:cs="Calibri"/>
                <w:color w:val="000000"/>
              </w:rPr>
              <w:t>OPIS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B06" w:rsidRPr="003901F2" w:rsidRDefault="000E0B06" w:rsidP="00FD700D">
            <w:pPr>
              <w:jc w:val="center"/>
              <w:rPr>
                <w:rFonts w:ascii="Calibri" w:hAnsi="Calibri" w:cs="Calibri"/>
                <w:color w:val="000000"/>
              </w:rPr>
            </w:pPr>
            <w:r w:rsidRPr="003901F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B06" w:rsidRPr="00B16FBE" w:rsidRDefault="000E0B06" w:rsidP="00FD700D">
            <w:pPr>
              <w:jc w:val="center"/>
              <w:rPr>
                <w:rFonts w:ascii="Calibri" w:hAnsi="Calibri" w:cs="Calibri"/>
                <w:color w:val="000000"/>
              </w:rPr>
            </w:pPr>
            <w:r w:rsidRPr="00B16FB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0E0B06" w:rsidRPr="00B16FBE" w:rsidTr="00FD700D">
        <w:trPr>
          <w:trHeight w:val="33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B06" w:rsidRPr="00B16FBE" w:rsidRDefault="000E0B06" w:rsidP="00FD700D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B16FBE">
              <w:rPr>
                <w:rFonts w:ascii="Calibri" w:hAnsi="Calibri" w:cs="Calibri"/>
                <w:color w:val="000000"/>
              </w:rPr>
              <w:t>Troškovi</w:t>
            </w:r>
            <w:proofErr w:type="spellEnd"/>
            <w:r w:rsidRPr="00B16FBE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16FBE">
              <w:rPr>
                <w:rFonts w:ascii="Calibri" w:hAnsi="Calibri" w:cs="Calibri"/>
                <w:color w:val="000000"/>
              </w:rPr>
              <w:t>telefona</w:t>
            </w:r>
            <w:proofErr w:type="spellEnd"/>
            <w:r w:rsidRPr="00B16FBE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B16FBE">
              <w:rPr>
                <w:rFonts w:ascii="Calibri" w:hAnsi="Calibri" w:cs="Calibri"/>
                <w:color w:val="000000"/>
              </w:rPr>
              <w:t>interneta</w:t>
            </w:r>
            <w:proofErr w:type="spellEnd"/>
            <w:r w:rsidRPr="00B16FBE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16FBE">
              <w:rPr>
                <w:rFonts w:ascii="Calibri" w:hAnsi="Calibri" w:cs="Calibri"/>
                <w:color w:val="000000"/>
              </w:rPr>
              <w:t>i</w:t>
            </w:r>
            <w:proofErr w:type="spellEnd"/>
            <w:r w:rsidRPr="00B16FBE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16FBE">
              <w:rPr>
                <w:rFonts w:ascii="Calibri" w:hAnsi="Calibri" w:cs="Calibri"/>
                <w:color w:val="000000"/>
              </w:rPr>
              <w:t>poštarine</w:t>
            </w:r>
            <w:proofErr w:type="spellEnd"/>
            <w:r w:rsidRPr="00B16FBE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B06" w:rsidRPr="003901F2" w:rsidRDefault="003901F2" w:rsidP="00FD700D">
            <w:pPr>
              <w:jc w:val="right"/>
              <w:rPr>
                <w:rFonts w:ascii="Calibri" w:hAnsi="Calibri" w:cs="Calibri"/>
                <w:color w:val="000000"/>
              </w:rPr>
            </w:pPr>
            <w:r w:rsidRPr="003901F2">
              <w:rPr>
                <w:rFonts w:ascii="Calibri" w:hAnsi="Calibri" w:cs="Calibri"/>
                <w:color w:val="000000"/>
              </w:rPr>
              <w:t>13.115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B06" w:rsidRPr="00A36CAA" w:rsidRDefault="00EC4C84" w:rsidP="00FD700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15.065</w:t>
            </w:r>
          </w:p>
        </w:tc>
      </w:tr>
      <w:tr w:rsidR="000E0B06" w:rsidRPr="00B16FBE" w:rsidTr="00FD700D">
        <w:trPr>
          <w:trHeight w:val="330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B06" w:rsidRPr="00B16FBE" w:rsidRDefault="000E0B06" w:rsidP="00FD700D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B16FBE">
              <w:rPr>
                <w:rFonts w:ascii="Calibri" w:hAnsi="Calibri" w:cs="Calibri"/>
                <w:color w:val="000000"/>
              </w:rPr>
              <w:t>Troškovi</w:t>
            </w:r>
            <w:proofErr w:type="spellEnd"/>
            <w:r w:rsidRPr="00B16FBE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16FBE">
              <w:rPr>
                <w:rFonts w:ascii="Calibri" w:hAnsi="Calibri" w:cs="Calibri"/>
                <w:color w:val="000000"/>
              </w:rPr>
              <w:t>tekućeg</w:t>
            </w:r>
            <w:proofErr w:type="spellEnd"/>
            <w:r w:rsidRPr="00B16FBE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16FBE">
              <w:rPr>
                <w:rFonts w:ascii="Calibri" w:hAnsi="Calibri" w:cs="Calibri"/>
                <w:color w:val="000000"/>
              </w:rPr>
              <w:t>odražavanja</w:t>
            </w:r>
            <w:proofErr w:type="spellEnd"/>
            <w:r w:rsidRPr="00B16FBE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B06" w:rsidRPr="003901F2" w:rsidRDefault="003901F2" w:rsidP="00FD700D">
            <w:pPr>
              <w:jc w:val="right"/>
              <w:rPr>
                <w:rFonts w:ascii="Calibri" w:hAnsi="Calibri" w:cs="Calibri"/>
                <w:color w:val="000000"/>
              </w:rPr>
            </w:pPr>
            <w:r w:rsidRPr="003901F2">
              <w:rPr>
                <w:rFonts w:ascii="Calibri" w:hAnsi="Calibri" w:cs="Calibri"/>
                <w:color w:val="000000"/>
              </w:rPr>
              <w:t>25.549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B06" w:rsidRPr="00A36CAA" w:rsidRDefault="00EC4C84" w:rsidP="00FD700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23.581</w:t>
            </w:r>
          </w:p>
        </w:tc>
      </w:tr>
      <w:tr w:rsidR="000E0B06" w:rsidRPr="00B16FBE" w:rsidTr="00FD700D">
        <w:trPr>
          <w:trHeight w:val="330"/>
        </w:trPr>
        <w:tc>
          <w:tcPr>
            <w:tcW w:w="4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B06" w:rsidRPr="00B16FBE" w:rsidRDefault="000E0B06" w:rsidP="00FD700D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B16FBE">
              <w:rPr>
                <w:rFonts w:ascii="Calibri" w:hAnsi="Calibri" w:cs="Calibri"/>
                <w:color w:val="000000"/>
              </w:rPr>
              <w:t>Troškovi</w:t>
            </w:r>
            <w:proofErr w:type="spellEnd"/>
            <w:r w:rsidRPr="00B16FBE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16FBE">
              <w:rPr>
                <w:rFonts w:ascii="Calibri" w:hAnsi="Calibri" w:cs="Calibri"/>
                <w:color w:val="000000"/>
              </w:rPr>
              <w:t>zakupa</w:t>
            </w:r>
            <w:proofErr w:type="spellEnd"/>
            <w:r w:rsidRPr="00B16FBE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16FBE">
              <w:rPr>
                <w:rFonts w:ascii="Calibri" w:hAnsi="Calibri" w:cs="Calibri"/>
                <w:color w:val="000000"/>
              </w:rPr>
              <w:t>i</w:t>
            </w:r>
            <w:proofErr w:type="spellEnd"/>
            <w:r w:rsidRPr="00B16FBE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16FBE">
              <w:rPr>
                <w:rFonts w:ascii="Calibri" w:hAnsi="Calibri" w:cs="Calibri"/>
                <w:color w:val="000000"/>
              </w:rPr>
              <w:t>komunalnih</w:t>
            </w:r>
            <w:proofErr w:type="spellEnd"/>
            <w:r w:rsidRPr="00B16FBE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16FBE">
              <w:rPr>
                <w:rFonts w:ascii="Calibri" w:hAnsi="Calibri" w:cs="Calibri"/>
                <w:color w:val="000000"/>
              </w:rPr>
              <w:t>usluga</w:t>
            </w:r>
            <w:proofErr w:type="spellEnd"/>
            <w:r w:rsidRPr="00B16FBE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B06" w:rsidRPr="003901F2" w:rsidRDefault="003901F2" w:rsidP="00FD700D">
            <w:pPr>
              <w:jc w:val="right"/>
              <w:rPr>
                <w:rFonts w:ascii="Calibri" w:hAnsi="Calibri" w:cs="Calibri"/>
                <w:color w:val="000000"/>
              </w:rPr>
            </w:pPr>
            <w:r w:rsidRPr="003901F2">
              <w:rPr>
                <w:rFonts w:ascii="Calibri" w:hAnsi="Calibri" w:cs="Calibri"/>
                <w:color w:val="000000"/>
              </w:rPr>
              <w:t>2</w:t>
            </w:r>
            <w:r w:rsidR="0007569F">
              <w:rPr>
                <w:rFonts w:ascii="Calibri" w:hAnsi="Calibri" w:cs="Calibri"/>
                <w:color w:val="000000"/>
              </w:rPr>
              <w:t>.703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B06" w:rsidRPr="00A36CAA" w:rsidRDefault="00EC4C84" w:rsidP="00FD700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2.442</w:t>
            </w:r>
          </w:p>
        </w:tc>
      </w:tr>
      <w:tr w:rsidR="000E0B06" w:rsidRPr="00B16FBE" w:rsidTr="00FD700D">
        <w:trPr>
          <w:trHeight w:val="33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B06" w:rsidRPr="00B16FBE" w:rsidRDefault="000E0B06" w:rsidP="00FD700D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B16FBE">
              <w:rPr>
                <w:rFonts w:ascii="Calibri" w:hAnsi="Calibri" w:cs="Calibri"/>
                <w:color w:val="000000"/>
              </w:rPr>
              <w:t>Ukupno</w:t>
            </w:r>
            <w:proofErr w:type="spellEnd"/>
            <w:r w:rsidRPr="00B16FBE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B06" w:rsidRPr="003901F2" w:rsidRDefault="000E0B06" w:rsidP="003901F2">
            <w:pPr>
              <w:jc w:val="right"/>
              <w:rPr>
                <w:rFonts w:ascii="Calibri" w:hAnsi="Calibri" w:cs="Calibri"/>
                <w:color w:val="000000"/>
              </w:rPr>
            </w:pPr>
            <w:r w:rsidRPr="003901F2">
              <w:rPr>
                <w:rFonts w:ascii="Calibri" w:hAnsi="Calibri" w:cs="Calibri"/>
                <w:color w:val="000000"/>
              </w:rPr>
              <w:t>41</w:t>
            </w:r>
            <w:r w:rsidR="003901F2" w:rsidRPr="003901F2">
              <w:rPr>
                <w:rFonts w:ascii="Calibri" w:hAnsi="Calibri" w:cs="Calibri"/>
                <w:color w:val="000000"/>
              </w:rPr>
              <w:t>.3</w:t>
            </w:r>
            <w:r w:rsidR="0007569F">
              <w:rPr>
                <w:rFonts w:ascii="Calibri" w:hAnsi="Calibri" w:cs="Calibri"/>
                <w:color w:val="000000"/>
              </w:rPr>
              <w:t>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B06" w:rsidRPr="00B16FBE" w:rsidRDefault="00EC4C84" w:rsidP="00FD700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41.088</w:t>
            </w:r>
          </w:p>
        </w:tc>
      </w:tr>
    </w:tbl>
    <w:p w:rsidR="000E0B06" w:rsidRDefault="000E0B06" w:rsidP="0001200E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p w:rsidR="004152F9" w:rsidRDefault="004152F9" w:rsidP="0001200E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p w:rsidR="00C17203" w:rsidRDefault="00C17203" w:rsidP="0001200E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p w:rsidR="00C17203" w:rsidRDefault="00C17203" w:rsidP="0001200E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tbl>
      <w:tblPr>
        <w:tblW w:w="10918" w:type="dxa"/>
        <w:tblInd w:w="98" w:type="dxa"/>
        <w:tblLook w:val="04A0" w:firstRow="1" w:lastRow="0" w:firstColumn="1" w:lastColumn="0" w:noHBand="0" w:noVBand="1"/>
      </w:tblPr>
      <w:tblGrid>
        <w:gridCol w:w="8507"/>
        <w:gridCol w:w="1177"/>
        <w:gridCol w:w="1234"/>
      </w:tblGrid>
      <w:tr w:rsidR="0001200E" w:rsidRPr="00814D3C" w:rsidTr="000E0B06">
        <w:trPr>
          <w:trHeight w:val="290"/>
        </w:trPr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00E" w:rsidRPr="00C964F4" w:rsidRDefault="00F3709B" w:rsidP="000E0B06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="Arial"/>
                <w:b/>
              </w:rPr>
            </w:pPr>
            <w:proofErr w:type="spellStart"/>
            <w:r w:rsidRPr="00C964F4">
              <w:rPr>
                <w:rFonts w:asciiTheme="minorHAnsi" w:hAnsiTheme="minorHAnsi" w:cs="Arial"/>
                <w:b/>
              </w:rPr>
              <w:lastRenderedPageBreak/>
              <w:t>Nematerijalni</w:t>
            </w:r>
            <w:proofErr w:type="spellEnd"/>
            <w:r w:rsidRPr="00C964F4">
              <w:rPr>
                <w:rFonts w:asciiTheme="minorHAnsi" w:hAnsiTheme="minorHAnsi" w:cs="Arial"/>
                <w:b/>
              </w:rPr>
              <w:t xml:space="preserve"> </w:t>
            </w:r>
            <w:proofErr w:type="spellStart"/>
            <w:r w:rsidRPr="00C964F4">
              <w:rPr>
                <w:rFonts w:asciiTheme="minorHAnsi" w:hAnsiTheme="minorHAnsi" w:cs="Arial"/>
                <w:b/>
              </w:rPr>
              <w:t>troškovi</w:t>
            </w:r>
            <w:proofErr w:type="spellEnd"/>
            <w:r w:rsidR="00C964F4" w:rsidRPr="00C964F4">
              <w:rPr>
                <w:rFonts w:asciiTheme="minorHAnsi" w:hAnsiTheme="minorHAnsi" w:cs="Arial"/>
                <w:b/>
              </w:rPr>
              <w:t xml:space="preserve">  </w:t>
            </w:r>
          </w:p>
          <w:p w:rsidR="0001200E" w:rsidRDefault="0001200E" w:rsidP="00A02927">
            <w:pPr>
              <w:rPr>
                <w:rFonts w:asciiTheme="minorHAnsi" w:hAnsiTheme="minorHAnsi" w:cs="Arial"/>
              </w:rPr>
            </w:pPr>
          </w:p>
          <w:p w:rsidR="006635F6" w:rsidRDefault="006635F6" w:rsidP="00A02927">
            <w:pPr>
              <w:rPr>
                <w:rFonts w:asciiTheme="minorHAnsi" w:hAnsiTheme="minorHAnsi" w:cs="Arial"/>
              </w:rPr>
            </w:pPr>
          </w:p>
          <w:tbl>
            <w:tblPr>
              <w:tblW w:w="8402" w:type="dxa"/>
              <w:tblLook w:val="04A0" w:firstRow="1" w:lastRow="0" w:firstColumn="1" w:lastColumn="0" w:noHBand="0" w:noVBand="1"/>
            </w:tblPr>
            <w:tblGrid>
              <w:gridCol w:w="5518"/>
              <w:gridCol w:w="1351"/>
              <w:gridCol w:w="1402"/>
            </w:tblGrid>
            <w:tr w:rsidR="00424C4A" w:rsidRPr="00424C4A" w:rsidTr="00493B06">
              <w:trPr>
                <w:trHeight w:val="315"/>
              </w:trPr>
              <w:tc>
                <w:tcPr>
                  <w:tcW w:w="5609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424C4A" w:rsidRDefault="00424C4A" w:rsidP="00424C4A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 w:rsidRPr="00424C4A">
                    <w:rPr>
                      <w:rFonts w:ascii="Calibri" w:hAnsi="Calibri" w:cs="Calibri"/>
                      <w:color w:val="000000"/>
                    </w:rPr>
                    <w:t> 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5334B4" w:rsidRDefault="005334B4" w:rsidP="00424C4A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 w:rsidRPr="005334B4">
                    <w:rPr>
                      <w:rFonts w:ascii="Calibri" w:hAnsi="Calibri" w:cs="Calibri"/>
                      <w:color w:val="000000"/>
                    </w:rPr>
                    <w:t>31.12.2024</w:t>
                  </w:r>
                </w:p>
              </w:tc>
              <w:tc>
                <w:tcPr>
                  <w:tcW w:w="14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424C4A" w:rsidRDefault="00EC4C84" w:rsidP="00424C4A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31.12.2023</w:t>
                  </w:r>
                </w:p>
              </w:tc>
            </w:tr>
            <w:tr w:rsidR="00424C4A" w:rsidRPr="00424C4A" w:rsidTr="00493B06">
              <w:trPr>
                <w:trHeight w:val="330"/>
              </w:trPr>
              <w:tc>
                <w:tcPr>
                  <w:tcW w:w="560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424C4A" w:rsidRDefault="00424C4A" w:rsidP="00424C4A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 w:rsidRPr="00424C4A">
                    <w:rPr>
                      <w:rFonts w:ascii="Calibri" w:hAnsi="Calibri" w:cs="Calibri"/>
                      <w:color w:val="000000"/>
                    </w:rPr>
                    <w:t>OPIS</w:t>
                  </w:r>
                </w:p>
              </w:tc>
              <w:tc>
                <w:tcPr>
                  <w:tcW w:w="137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24C4A" w:rsidRPr="005334B4" w:rsidRDefault="00424C4A" w:rsidP="00424C4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14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24C4A" w:rsidRPr="00424C4A" w:rsidRDefault="00424C4A" w:rsidP="00424C4A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  <w:tr w:rsidR="00424C4A" w:rsidRPr="00424C4A" w:rsidTr="00493B06">
              <w:trPr>
                <w:trHeight w:val="330"/>
              </w:trPr>
              <w:tc>
                <w:tcPr>
                  <w:tcW w:w="560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424C4A" w:rsidRDefault="00424C4A" w:rsidP="00424C4A">
                  <w:pPr>
                    <w:rPr>
                      <w:rFonts w:ascii="Calibri" w:hAnsi="Calibri" w:cs="Calibri"/>
                      <w:color w:val="000000"/>
                    </w:rPr>
                  </w:pP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Troškovi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Komisije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za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 HOV 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5334B4" w:rsidRDefault="005334B4" w:rsidP="00424C4A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5334B4">
                    <w:rPr>
                      <w:rFonts w:ascii="Calibri" w:hAnsi="Calibri" w:cs="Calibri"/>
                      <w:color w:val="000000"/>
                    </w:rPr>
                    <w:t>117.326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424C4A" w:rsidRDefault="00EC4C84" w:rsidP="00424C4A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115.309</w:t>
                  </w:r>
                </w:p>
              </w:tc>
            </w:tr>
            <w:tr w:rsidR="00424C4A" w:rsidRPr="00424C4A" w:rsidTr="00493B06">
              <w:trPr>
                <w:trHeight w:val="330"/>
              </w:trPr>
              <w:tc>
                <w:tcPr>
                  <w:tcW w:w="560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424C4A" w:rsidRDefault="00424C4A" w:rsidP="00424C4A">
                  <w:pPr>
                    <w:rPr>
                      <w:rFonts w:ascii="Calibri" w:hAnsi="Calibri" w:cs="Calibri"/>
                      <w:color w:val="000000"/>
                    </w:rPr>
                  </w:pP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Troškovi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 Future fund 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5334B4" w:rsidRDefault="005334B4" w:rsidP="00424C4A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5334B4">
                    <w:rPr>
                      <w:rFonts w:ascii="Calibri" w:hAnsi="Calibri" w:cs="Calibri"/>
                      <w:color w:val="000000"/>
                    </w:rPr>
                    <w:t>99.700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424C4A" w:rsidRDefault="00EC4C84" w:rsidP="00424C4A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94.956</w:t>
                  </w:r>
                </w:p>
              </w:tc>
            </w:tr>
            <w:tr w:rsidR="00424C4A" w:rsidRPr="00424C4A" w:rsidTr="00493B06">
              <w:trPr>
                <w:trHeight w:val="330"/>
              </w:trPr>
              <w:tc>
                <w:tcPr>
                  <w:tcW w:w="560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424C4A" w:rsidRDefault="00424C4A" w:rsidP="00424C4A">
                  <w:pPr>
                    <w:rPr>
                      <w:rFonts w:ascii="Calibri" w:hAnsi="Calibri" w:cs="Calibri"/>
                      <w:color w:val="000000"/>
                    </w:rPr>
                  </w:pP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Troškovi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 Maximus fund 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5334B4" w:rsidRDefault="005334B4" w:rsidP="00424C4A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5334B4">
                    <w:rPr>
                      <w:rFonts w:ascii="Calibri" w:hAnsi="Calibri" w:cs="Calibri"/>
                      <w:color w:val="000000"/>
                    </w:rPr>
                    <w:t>71.569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424C4A" w:rsidRDefault="00EC4C84" w:rsidP="00424C4A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74.661</w:t>
                  </w:r>
                </w:p>
              </w:tc>
            </w:tr>
            <w:tr w:rsidR="00424C4A" w:rsidRPr="00424C4A" w:rsidTr="00493B06">
              <w:trPr>
                <w:trHeight w:val="330"/>
              </w:trPr>
              <w:tc>
                <w:tcPr>
                  <w:tcW w:w="560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424C4A" w:rsidRDefault="00424C4A" w:rsidP="00424C4A">
                  <w:pPr>
                    <w:rPr>
                      <w:rFonts w:ascii="Calibri" w:hAnsi="Calibri" w:cs="Calibri"/>
                      <w:color w:val="000000"/>
                    </w:rPr>
                  </w:pP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Troškovi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ugovora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sa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fiz.licima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5334B4" w:rsidRDefault="005334B4" w:rsidP="00424C4A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5334B4">
                    <w:rPr>
                      <w:rFonts w:ascii="Calibri" w:hAnsi="Calibri" w:cs="Calibri"/>
                      <w:color w:val="000000"/>
                    </w:rPr>
                    <w:t>63.804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424C4A" w:rsidRDefault="00493B06" w:rsidP="00424C4A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424C4A">
                    <w:rPr>
                      <w:rFonts w:ascii="Calibri" w:hAnsi="Calibri" w:cs="Calibri"/>
                      <w:color w:val="000000"/>
                    </w:rPr>
                    <w:t>47.387</w:t>
                  </w:r>
                </w:p>
              </w:tc>
            </w:tr>
            <w:tr w:rsidR="00424C4A" w:rsidRPr="00424C4A" w:rsidTr="00493B06">
              <w:trPr>
                <w:trHeight w:val="330"/>
              </w:trPr>
              <w:tc>
                <w:tcPr>
                  <w:tcW w:w="560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424C4A" w:rsidRDefault="00424C4A" w:rsidP="00424C4A">
                  <w:pPr>
                    <w:rPr>
                      <w:rFonts w:ascii="Calibri" w:hAnsi="Calibri" w:cs="Calibri"/>
                      <w:color w:val="000000"/>
                    </w:rPr>
                  </w:pP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Troškovi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platog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prometa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 -</w:t>
                  </w: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domaći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i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ino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, </w:t>
                  </w: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castodi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troškovi</w:t>
                  </w:r>
                  <w:proofErr w:type="spellEnd"/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5334B4" w:rsidRDefault="00146198" w:rsidP="005334B4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5334B4">
                    <w:rPr>
                      <w:rFonts w:ascii="Calibri" w:hAnsi="Calibri" w:cs="Calibri"/>
                      <w:color w:val="000000"/>
                    </w:rPr>
                    <w:t>5.</w:t>
                  </w:r>
                  <w:r w:rsidR="008877D6">
                    <w:rPr>
                      <w:rFonts w:ascii="Calibri" w:hAnsi="Calibri" w:cs="Calibri"/>
                      <w:color w:val="000000"/>
                    </w:rPr>
                    <w:t>857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424C4A" w:rsidRDefault="00EC4C84" w:rsidP="00424C4A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5.646</w:t>
                  </w:r>
                </w:p>
              </w:tc>
            </w:tr>
            <w:tr w:rsidR="00424C4A" w:rsidRPr="00424C4A" w:rsidTr="00493B06">
              <w:trPr>
                <w:trHeight w:val="330"/>
              </w:trPr>
              <w:tc>
                <w:tcPr>
                  <w:tcW w:w="560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424C4A" w:rsidRDefault="00424C4A" w:rsidP="00424C4A">
                  <w:pPr>
                    <w:rPr>
                      <w:rFonts w:ascii="Calibri" w:hAnsi="Calibri" w:cs="Calibri"/>
                      <w:color w:val="000000"/>
                    </w:rPr>
                  </w:pP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Troškovi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advokata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, </w:t>
                  </w: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prevodi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dr</w:t>
                  </w:r>
                  <w:proofErr w:type="spellEnd"/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EC4C84" w:rsidRDefault="00C17203" w:rsidP="00424C4A">
                  <w:pPr>
                    <w:jc w:val="right"/>
                    <w:rPr>
                      <w:rFonts w:ascii="Calibri" w:hAnsi="Calibri" w:cs="Calibri"/>
                      <w:color w:val="000000"/>
                      <w:highlight w:val="yellow"/>
                    </w:rPr>
                  </w:pPr>
                  <w:r w:rsidRPr="00C17203">
                    <w:rPr>
                      <w:rFonts w:ascii="Calibri" w:hAnsi="Calibri" w:cs="Calibri"/>
                      <w:color w:val="000000"/>
                    </w:rPr>
                    <w:t>6.998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424C4A" w:rsidRDefault="00EC4C84" w:rsidP="00424C4A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12.159</w:t>
                  </w:r>
                </w:p>
              </w:tc>
            </w:tr>
            <w:tr w:rsidR="00424C4A" w:rsidRPr="00424C4A" w:rsidTr="00493B06">
              <w:trPr>
                <w:trHeight w:val="330"/>
              </w:trPr>
              <w:tc>
                <w:tcPr>
                  <w:tcW w:w="560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424C4A" w:rsidRDefault="00424C4A" w:rsidP="00146198">
                  <w:pPr>
                    <w:rPr>
                      <w:rFonts w:ascii="Calibri" w:hAnsi="Calibri" w:cs="Calibri"/>
                      <w:color w:val="000000"/>
                    </w:rPr>
                  </w:pP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Troškovi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poreza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, </w:t>
                  </w: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ostalih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doprinos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  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5334B4" w:rsidRDefault="00146198" w:rsidP="005334B4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5334B4">
                    <w:rPr>
                      <w:rFonts w:ascii="Calibri" w:hAnsi="Calibri" w:cs="Calibri"/>
                      <w:color w:val="000000"/>
                    </w:rPr>
                    <w:t>5.</w:t>
                  </w:r>
                  <w:r w:rsidR="005334B4" w:rsidRPr="005334B4">
                    <w:rPr>
                      <w:rFonts w:ascii="Calibri" w:hAnsi="Calibri" w:cs="Calibri"/>
                      <w:color w:val="000000"/>
                    </w:rPr>
                    <w:t>309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424C4A" w:rsidRDefault="00EC4C84" w:rsidP="00424C4A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5.272</w:t>
                  </w:r>
                </w:p>
              </w:tc>
            </w:tr>
            <w:tr w:rsidR="00424C4A" w:rsidRPr="00424C4A" w:rsidTr="00493B06">
              <w:trPr>
                <w:trHeight w:val="330"/>
              </w:trPr>
              <w:tc>
                <w:tcPr>
                  <w:tcW w:w="560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424C4A" w:rsidRDefault="00424C4A" w:rsidP="00424C4A">
                  <w:pPr>
                    <w:rPr>
                      <w:rFonts w:ascii="Calibri" w:hAnsi="Calibri" w:cs="Calibri"/>
                      <w:color w:val="000000"/>
                    </w:rPr>
                  </w:pP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Troškovi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revizije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, </w:t>
                  </w: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seminari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i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zdrav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. </w:t>
                  </w: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Usluge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5334B4" w:rsidRDefault="005334B4" w:rsidP="00424C4A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5334B4">
                    <w:rPr>
                      <w:rFonts w:ascii="Calibri" w:hAnsi="Calibri" w:cs="Calibri"/>
                      <w:color w:val="000000"/>
                    </w:rPr>
                    <w:t>8.010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424C4A" w:rsidRDefault="00EC4C84" w:rsidP="00424C4A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10.096</w:t>
                  </w:r>
                </w:p>
              </w:tc>
            </w:tr>
            <w:tr w:rsidR="00424C4A" w:rsidRPr="00424C4A" w:rsidTr="00493B06">
              <w:trPr>
                <w:trHeight w:val="330"/>
              </w:trPr>
              <w:tc>
                <w:tcPr>
                  <w:tcW w:w="560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424C4A" w:rsidRDefault="00146198" w:rsidP="00424C4A">
                  <w:pPr>
                    <w:rPr>
                      <w:rFonts w:ascii="Calibri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color w:val="000000"/>
                    </w:rPr>
                    <w:t>T</w:t>
                  </w:r>
                  <w:r w:rsidR="00424C4A" w:rsidRPr="00424C4A">
                    <w:rPr>
                      <w:rFonts w:ascii="Calibri" w:hAnsi="Calibri" w:cs="Calibri"/>
                      <w:color w:val="000000"/>
                    </w:rPr>
                    <w:t>roškovi</w:t>
                  </w:r>
                  <w:proofErr w:type="spellEnd"/>
                  <w:r w:rsidR="00424C4A" w:rsidRPr="00424C4A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  <w:proofErr w:type="spellStart"/>
                  <w:r w:rsidR="00424C4A" w:rsidRPr="00424C4A">
                    <w:rPr>
                      <w:rFonts w:ascii="Calibri" w:hAnsi="Calibri" w:cs="Calibri"/>
                      <w:color w:val="000000"/>
                    </w:rPr>
                    <w:t>reprezentacije</w:t>
                  </w:r>
                  <w:proofErr w:type="spellEnd"/>
                  <w:r w:rsidR="00424C4A" w:rsidRPr="00424C4A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EC4C84" w:rsidRDefault="005334B4" w:rsidP="00985A4F">
                  <w:pPr>
                    <w:jc w:val="right"/>
                    <w:rPr>
                      <w:rFonts w:ascii="Calibri" w:hAnsi="Calibri" w:cs="Calibri"/>
                      <w:color w:val="000000"/>
                      <w:highlight w:val="yellow"/>
                    </w:rPr>
                  </w:pPr>
                  <w:r w:rsidRPr="005334B4">
                    <w:rPr>
                      <w:rFonts w:ascii="Calibri" w:hAnsi="Calibri" w:cs="Calibri"/>
                      <w:color w:val="000000"/>
                    </w:rPr>
                    <w:t>7.261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424C4A" w:rsidRDefault="00EC4C84" w:rsidP="00424C4A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4.653</w:t>
                  </w:r>
                </w:p>
              </w:tc>
            </w:tr>
            <w:tr w:rsidR="00424C4A" w:rsidRPr="00424C4A" w:rsidTr="00493B06">
              <w:trPr>
                <w:trHeight w:val="330"/>
              </w:trPr>
              <w:tc>
                <w:tcPr>
                  <w:tcW w:w="560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424C4A" w:rsidRDefault="00424C4A" w:rsidP="00424C4A">
                  <w:pPr>
                    <w:rPr>
                      <w:rFonts w:ascii="Calibri" w:hAnsi="Calibri" w:cs="Calibri"/>
                      <w:color w:val="000000"/>
                    </w:rPr>
                  </w:pP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Troškovi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 CR</w:t>
                  </w:r>
                  <w:r w:rsidR="002C5A0D">
                    <w:rPr>
                      <w:rFonts w:ascii="Calibri" w:hAnsi="Calibri" w:cs="Calibri"/>
                      <w:color w:val="000000"/>
                    </w:rPr>
                    <w:t xml:space="preserve">HOV, </w:t>
                  </w:r>
                  <w:proofErr w:type="spellStart"/>
                  <w:r w:rsidR="002C5A0D">
                    <w:rPr>
                      <w:rFonts w:ascii="Calibri" w:hAnsi="Calibri" w:cs="Calibri"/>
                      <w:color w:val="000000"/>
                    </w:rPr>
                    <w:t>Berze,obezbjeđenja</w:t>
                  </w:r>
                  <w:proofErr w:type="spellEnd"/>
                  <w:r w:rsidR="002C5A0D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  <w:proofErr w:type="spellStart"/>
                  <w:r w:rsidR="002C5A0D">
                    <w:rPr>
                      <w:rFonts w:ascii="Calibri" w:hAnsi="Calibri" w:cs="Calibri"/>
                      <w:color w:val="000000"/>
                    </w:rPr>
                    <w:t>objekta</w:t>
                  </w:r>
                  <w:proofErr w:type="spellEnd"/>
                  <w:r w:rsidR="002C5A0D">
                    <w:rPr>
                      <w:rFonts w:ascii="Calibri" w:hAnsi="Calibri" w:cs="Calibri"/>
                      <w:color w:val="000000"/>
                    </w:rPr>
                    <w:t xml:space="preserve">, </w:t>
                  </w:r>
                  <w:proofErr w:type="spellStart"/>
                  <w:r w:rsidR="002C5A0D">
                    <w:rPr>
                      <w:rFonts w:ascii="Calibri" w:hAnsi="Calibri" w:cs="Calibri"/>
                      <w:color w:val="000000"/>
                    </w:rPr>
                    <w:t>arhiviranje</w:t>
                  </w:r>
                  <w:proofErr w:type="spellEnd"/>
                  <w:r w:rsidR="002C5A0D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  <w:proofErr w:type="spellStart"/>
                  <w:r w:rsidR="002C5A0D">
                    <w:rPr>
                      <w:rFonts w:ascii="Calibri" w:hAnsi="Calibri" w:cs="Calibri"/>
                      <w:color w:val="000000"/>
                    </w:rPr>
                    <w:t>dokumentacije</w:t>
                  </w:r>
                  <w:proofErr w:type="spellEnd"/>
                  <w:r w:rsidR="002C5A0D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EC4C84" w:rsidRDefault="00C17203" w:rsidP="00424C4A">
                  <w:pPr>
                    <w:jc w:val="right"/>
                    <w:rPr>
                      <w:rFonts w:ascii="Calibri" w:hAnsi="Calibri" w:cs="Calibri"/>
                      <w:color w:val="000000"/>
                      <w:highlight w:val="yellow"/>
                    </w:rPr>
                  </w:pPr>
                  <w:r w:rsidRPr="00C17203">
                    <w:rPr>
                      <w:rFonts w:ascii="Calibri" w:hAnsi="Calibri" w:cs="Calibri"/>
                      <w:color w:val="000000"/>
                    </w:rPr>
                    <w:t>11.385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424C4A" w:rsidRDefault="00EC4C84" w:rsidP="00424C4A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12.331</w:t>
                  </w:r>
                </w:p>
              </w:tc>
            </w:tr>
            <w:tr w:rsidR="00424C4A" w:rsidRPr="00424C4A" w:rsidTr="00493B06">
              <w:trPr>
                <w:trHeight w:val="330"/>
              </w:trPr>
              <w:tc>
                <w:tcPr>
                  <w:tcW w:w="560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424C4A" w:rsidRDefault="00424C4A" w:rsidP="00424C4A">
                  <w:pPr>
                    <w:rPr>
                      <w:rFonts w:ascii="Calibri" w:hAnsi="Calibri" w:cs="Calibri"/>
                      <w:color w:val="000000"/>
                    </w:rPr>
                  </w:pP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Ostali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nematerijalni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troškovi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C17203" w:rsidRDefault="00C17203" w:rsidP="00424C4A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 w:rsidRPr="00C17203">
                    <w:rPr>
                      <w:rFonts w:ascii="Calibri" w:hAnsi="Calibri" w:cs="Calibri"/>
                      <w:color w:val="000000"/>
                    </w:rPr>
                    <w:t>2.931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424C4A" w:rsidRDefault="00EC4C84" w:rsidP="00424C4A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7.333</w:t>
                  </w:r>
                </w:p>
              </w:tc>
            </w:tr>
            <w:tr w:rsidR="00424C4A" w:rsidRPr="00424C4A" w:rsidTr="00493B06">
              <w:trPr>
                <w:trHeight w:val="330"/>
              </w:trPr>
              <w:tc>
                <w:tcPr>
                  <w:tcW w:w="560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424C4A" w:rsidRDefault="00424C4A" w:rsidP="00424C4A">
                  <w:pPr>
                    <w:rPr>
                      <w:rFonts w:ascii="Calibri" w:hAnsi="Calibri" w:cs="Calibri"/>
                      <w:color w:val="000000"/>
                    </w:rPr>
                  </w:pPr>
                  <w:proofErr w:type="spellStart"/>
                  <w:r w:rsidRPr="00424C4A">
                    <w:rPr>
                      <w:rFonts w:ascii="Calibri" w:hAnsi="Calibri" w:cs="Calibri"/>
                      <w:color w:val="000000"/>
                    </w:rPr>
                    <w:t>Ukupno</w:t>
                  </w:r>
                  <w:proofErr w:type="spellEnd"/>
                  <w:r w:rsidRPr="00424C4A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C17203" w:rsidRDefault="008877D6" w:rsidP="00424C4A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400.150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4C4A" w:rsidRPr="00424C4A" w:rsidRDefault="00EC4C84" w:rsidP="00424C4A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389.803</w:t>
                  </w:r>
                </w:p>
              </w:tc>
            </w:tr>
          </w:tbl>
          <w:p w:rsidR="00424C4A" w:rsidRPr="00814D3C" w:rsidRDefault="00424C4A" w:rsidP="00A02927">
            <w:pPr>
              <w:rPr>
                <w:rFonts w:asciiTheme="minorHAnsi" w:hAnsiTheme="minorHAnsi" w:cs="Arial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00E" w:rsidRPr="00814D3C" w:rsidRDefault="0001200E" w:rsidP="00A02927">
            <w:pPr>
              <w:rPr>
                <w:rFonts w:asciiTheme="minorHAnsi" w:hAnsiTheme="minorHAnsi" w:cs="Arial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00E" w:rsidRPr="00814D3C" w:rsidRDefault="0001200E" w:rsidP="00A02927">
            <w:pPr>
              <w:rPr>
                <w:rFonts w:asciiTheme="minorHAnsi" w:hAnsiTheme="minorHAnsi" w:cs="Arial"/>
              </w:rPr>
            </w:pPr>
          </w:p>
        </w:tc>
      </w:tr>
    </w:tbl>
    <w:p w:rsidR="00EE2FBE" w:rsidRPr="00EE2FBE" w:rsidRDefault="00EE2FBE" w:rsidP="0001200E">
      <w:p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</w:p>
    <w:p w:rsidR="0001200E" w:rsidRPr="00567AFB" w:rsidRDefault="0001200E" w:rsidP="000E0B06">
      <w:pPr>
        <w:pStyle w:val="ListParagraph"/>
        <w:numPr>
          <w:ilvl w:val="0"/>
          <w:numId w:val="13"/>
        </w:num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  <w:r w:rsidRPr="00567AFB">
        <w:rPr>
          <w:rFonts w:asciiTheme="minorHAnsi" w:hAnsiTheme="minorHAnsi"/>
          <w:b/>
          <w:lang w:val="hr-HR"/>
        </w:rPr>
        <w:t xml:space="preserve">Struktura bruto rezultata </w:t>
      </w:r>
    </w:p>
    <w:p w:rsidR="0001200E" w:rsidRPr="00814D3C" w:rsidRDefault="0001200E" w:rsidP="0001200E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2126"/>
        <w:gridCol w:w="1701"/>
        <w:gridCol w:w="2552"/>
      </w:tblGrid>
      <w:tr w:rsidR="0001200E" w:rsidRPr="00814D3C" w:rsidTr="0042564C">
        <w:tc>
          <w:tcPr>
            <w:tcW w:w="2093" w:type="dxa"/>
          </w:tcPr>
          <w:p w:rsidR="0001200E" w:rsidRPr="00814D3C" w:rsidRDefault="0001200E" w:rsidP="00A02927">
            <w:pPr>
              <w:jc w:val="center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2126" w:type="dxa"/>
          </w:tcPr>
          <w:p w:rsidR="0001200E" w:rsidRPr="00814D3C" w:rsidRDefault="0001200E" w:rsidP="00A02927">
            <w:pPr>
              <w:jc w:val="center"/>
              <w:rPr>
                <w:rFonts w:asciiTheme="minorHAnsi" w:hAnsiTheme="minorHAnsi"/>
                <w:lang w:val="sr-Latn-CS"/>
              </w:rPr>
            </w:pPr>
            <w:r w:rsidRPr="00814D3C">
              <w:rPr>
                <w:rFonts w:asciiTheme="minorHAnsi" w:hAnsiTheme="minorHAnsi"/>
                <w:lang w:val="sr-Latn-CS"/>
              </w:rPr>
              <w:t xml:space="preserve">PRIHODI </w:t>
            </w:r>
          </w:p>
        </w:tc>
        <w:tc>
          <w:tcPr>
            <w:tcW w:w="1701" w:type="dxa"/>
          </w:tcPr>
          <w:p w:rsidR="0001200E" w:rsidRPr="00814D3C" w:rsidRDefault="0001200E" w:rsidP="00A02927">
            <w:pPr>
              <w:rPr>
                <w:rFonts w:asciiTheme="minorHAnsi" w:hAnsiTheme="minorHAnsi"/>
                <w:lang w:val="sr-Latn-CS"/>
              </w:rPr>
            </w:pPr>
            <w:r w:rsidRPr="00814D3C">
              <w:rPr>
                <w:rFonts w:asciiTheme="minorHAnsi" w:hAnsiTheme="minorHAnsi"/>
                <w:lang w:val="sr-Latn-CS"/>
              </w:rPr>
              <w:t>RASHODI</w:t>
            </w:r>
          </w:p>
        </w:tc>
        <w:tc>
          <w:tcPr>
            <w:tcW w:w="2552" w:type="dxa"/>
          </w:tcPr>
          <w:p w:rsidR="0001200E" w:rsidRPr="00814D3C" w:rsidRDefault="0001200E" w:rsidP="00A02927">
            <w:pPr>
              <w:jc w:val="center"/>
              <w:rPr>
                <w:rFonts w:asciiTheme="minorHAnsi" w:hAnsiTheme="minorHAnsi"/>
                <w:lang w:val="sr-Latn-CS"/>
              </w:rPr>
            </w:pPr>
            <w:r w:rsidRPr="00814D3C">
              <w:rPr>
                <w:rFonts w:asciiTheme="minorHAnsi" w:hAnsiTheme="minorHAnsi"/>
                <w:lang w:val="sr-Latn-CS"/>
              </w:rPr>
              <w:t>REZULTAT</w:t>
            </w:r>
          </w:p>
        </w:tc>
      </w:tr>
      <w:tr w:rsidR="0001200E" w:rsidRPr="00E27CC1" w:rsidTr="00B02D60">
        <w:tc>
          <w:tcPr>
            <w:tcW w:w="2093" w:type="dxa"/>
          </w:tcPr>
          <w:p w:rsidR="0001200E" w:rsidRPr="00E27CC1" w:rsidRDefault="0001200E" w:rsidP="00A02927">
            <w:pPr>
              <w:jc w:val="both"/>
              <w:rPr>
                <w:rFonts w:asciiTheme="minorHAnsi" w:hAnsiTheme="minorHAnsi"/>
                <w:lang w:val="sr-Latn-CS"/>
              </w:rPr>
            </w:pPr>
            <w:r w:rsidRPr="00E27CC1">
              <w:rPr>
                <w:rFonts w:asciiTheme="minorHAnsi" w:hAnsiTheme="minorHAnsi"/>
                <w:lang w:val="sr-Latn-CS"/>
              </w:rPr>
              <w:t xml:space="preserve">Poslovni </w:t>
            </w:r>
            <w:r w:rsidR="00B02D60" w:rsidRPr="00E27CC1">
              <w:rPr>
                <w:rFonts w:asciiTheme="minorHAnsi" w:hAnsiTheme="minorHAnsi"/>
                <w:lang w:val="sr-Latn-CS"/>
              </w:rPr>
              <w:t>prihodi</w:t>
            </w:r>
            <w:r w:rsidR="00E52036" w:rsidRPr="00E27CC1">
              <w:rPr>
                <w:rFonts w:asciiTheme="minorHAnsi" w:hAnsiTheme="minorHAnsi"/>
                <w:lang w:val="sr-Latn-CS"/>
              </w:rPr>
              <w:t xml:space="preserve">/rashodi </w:t>
            </w:r>
          </w:p>
        </w:tc>
        <w:tc>
          <w:tcPr>
            <w:tcW w:w="2126" w:type="dxa"/>
          </w:tcPr>
          <w:p w:rsidR="0001200E" w:rsidRPr="00E27CC1" w:rsidRDefault="00EC150F" w:rsidP="004F76B9">
            <w:pPr>
              <w:jc w:val="right"/>
              <w:rPr>
                <w:rFonts w:asciiTheme="minorHAnsi" w:hAnsiTheme="minorHAnsi"/>
                <w:lang w:val="sr-Latn-CS"/>
              </w:rPr>
            </w:pPr>
            <w:r w:rsidRPr="00E27CC1">
              <w:rPr>
                <w:rFonts w:asciiTheme="minorHAnsi" w:hAnsiTheme="minorHAnsi"/>
                <w:lang w:val="sr-Latn-CS"/>
              </w:rPr>
              <w:t>3.</w:t>
            </w:r>
            <w:r w:rsidR="004F76B9">
              <w:rPr>
                <w:rFonts w:asciiTheme="minorHAnsi" w:hAnsiTheme="minorHAnsi"/>
                <w:lang w:val="sr-Latn-CS"/>
              </w:rPr>
              <w:t>221.824</w:t>
            </w:r>
          </w:p>
        </w:tc>
        <w:tc>
          <w:tcPr>
            <w:tcW w:w="1701" w:type="dxa"/>
          </w:tcPr>
          <w:p w:rsidR="0001200E" w:rsidRPr="00E27CC1" w:rsidRDefault="00617266" w:rsidP="00BA7DA5">
            <w:pPr>
              <w:jc w:val="right"/>
              <w:rPr>
                <w:rFonts w:asciiTheme="minorHAnsi" w:hAnsiTheme="minorHAnsi"/>
                <w:lang w:val="sr-Latn-CS"/>
              </w:rPr>
            </w:pPr>
            <w:r w:rsidRPr="00E27CC1">
              <w:rPr>
                <w:rFonts w:asciiTheme="minorHAnsi" w:hAnsiTheme="minorHAnsi"/>
                <w:lang w:val="sr-Latn-CS"/>
              </w:rPr>
              <w:t>1.</w:t>
            </w:r>
            <w:r w:rsidR="00893FF7">
              <w:rPr>
                <w:rFonts w:asciiTheme="minorHAnsi" w:hAnsiTheme="minorHAnsi"/>
                <w:lang w:val="sr-Latn-CS"/>
              </w:rPr>
              <w:t>19</w:t>
            </w:r>
            <w:r w:rsidR="008877D6">
              <w:rPr>
                <w:rFonts w:asciiTheme="minorHAnsi" w:hAnsiTheme="minorHAnsi"/>
                <w:lang w:val="sr-Latn-CS"/>
              </w:rPr>
              <w:t>7.316</w:t>
            </w:r>
          </w:p>
        </w:tc>
        <w:tc>
          <w:tcPr>
            <w:tcW w:w="2552" w:type="dxa"/>
          </w:tcPr>
          <w:p w:rsidR="0001200E" w:rsidRPr="00E27CC1" w:rsidRDefault="00922F03" w:rsidP="00E27CC1">
            <w:pPr>
              <w:jc w:val="right"/>
              <w:rPr>
                <w:rFonts w:asciiTheme="minorHAnsi" w:hAnsiTheme="minorHAnsi"/>
                <w:lang w:val="sr-Latn-CS"/>
              </w:rPr>
            </w:pPr>
            <w:r>
              <w:rPr>
                <w:rFonts w:asciiTheme="minorHAnsi" w:hAnsiTheme="minorHAnsi"/>
                <w:lang w:val="sr-Latn-CS"/>
              </w:rPr>
              <w:t>2.024.508</w:t>
            </w:r>
          </w:p>
        </w:tc>
      </w:tr>
      <w:tr w:rsidR="0001200E" w:rsidRPr="00E27CC1" w:rsidTr="00B02D60">
        <w:trPr>
          <w:trHeight w:val="294"/>
        </w:trPr>
        <w:tc>
          <w:tcPr>
            <w:tcW w:w="2093" w:type="dxa"/>
          </w:tcPr>
          <w:p w:rsidR="00B02D60" w:rsidRPr="00E27CC1" w:rsidRDefault="00E52036" w:rsidP="00E52036">
            <w:pPr>
              <w:jc w:val="both"/>
              <w:rPr>
                <w:rFonts w:asciiTheme="minorHAnsi" w:hAnsiTheme="minorHAnsi"/>
                <w:lang w:val="sr-Latn-CS"/>
              </w:rPr>
            </w:pPr>
            <w:r w:rsidRPr="00E27CC1">
              <w:rPr>
                <w:rFonts w:asciiTheme="minorHAnsi" w:hAnsiTheme="minorHAnsi"/>
                <w:lang w:val="sr-Latn-CS"/>
              </w:rPr>
              <w:t xml:space="preserve">Prihodi/rashodi </w:t>
            </w:r>
            <w:r w:rsidR="00B02D60" w:rsidRPr="00E27CC1">
              <w:rPr>
                <w:rFonts w:asciiTheme="minorHAnsi" w:hAnsiTheme="minorHAnsi"/>
                <w:lang w:val="sr-Latn-CS"/>
              </w:rPr>
              <w:t xml:space="preserve">kamata </w:t>
            </w:r>
            <w:r w:rsidR="005C07F0" w:rsidRPr="00E27CC1">
              <w:rPr>
                <w:rFonts w:asciiTheme="minorHAnsi" w:hAnsiTheme="minorHAnsi"/>
                <w:lang w:val="sr-Latn-CS"/>
              </w:rPr>
              <w:t xml:space="preserve">i dividendi </w:t>
            </w:r>
          </w:p>
        </w:tc>
        <w:tc>
          <w:tcPr>
            <w:tcW w:w="2126" w:type="dxa"/>
          </w:tcPr>
          <w:p w:rsidR="001B398F" w:rsidRPr="00E27CC1" w:rsidRDefault="004F76B9" w:rsidP="001B398F">
            <w:pPr>
              <w:jc w:val="right"/>
              <w:rPr>
                <w:rFonts w:asciiTheme="minorHAnsi" w:hAnsiTheme="minorHAnsi"/>
                <w:lang w:val="sr-Latn-CS"/>
              </w:rPr>
            </w:pPr>
            <w:r>
              <w:rPr>
                <w:rFonts w:asciiTheme="minorHAnsi" w:hAnsiTheme="minorHAnsi"/>
                <w:lang w:val="sr-Latn-CS"/>
              </w:rPr>
              <w:t>61.333</w:t>
            </w:r>
          </w:p>
          <w:p w:rsidR="0001200E" w:rsidRPr="00E27CC1" w:rsidRDefault="0001200E" w:rsidP="00A02927">
            <w:pPr>
              <w:jc w:val="right"/>
              <w:rPr>
                <w:rFonts w:asciiTheme="minorHAnsi" w:hAnsiTheme="minorHAnsi"/>
                <w:lang w:val="sr-Latn-CS"/>
              </w:rPr>
            </w:pPr>
          </w:p>
        </w:tc>
        <w:tc>
          <w:tcPr>
            <w:tcW w:w="1701" w:type="dxa"/>
          </w:tcPr>
          <w:p w:rsidR="0001200E" w:rsidRPr="00E27CC1" w:rsidRDefault="00EC150F" w:rsidP="00A02927">
            <w:pPr>
              <w:jc w:val="right"/>
              <w:rPr>
                <w:rFonts w:asciiTheme="minorHAnsi" w:hAnsiTheme="minorHAnsi"/>
                <w:lang w:val="sr-Latn-CS"/>
              </w:rPr>
            </w:pPr>
            <w:r w:rsidRPr="00E27CC1">
              <w:rPr>
                <w:rFonts w:asciiTheme="minorHAnsi" w:hAnsiTheme="minorHAnsi"/>
                <w:lang w:val="sr-Latn-CS"/>
              </w:rPr>
              <w:t>0</w:t>
            </w:r>
          </w:p>
        </w:tc>
        <w:tc>
          <w:tcPr>
            <w:tcW w:w="2552" w:type="dxa"/>
          </w:tcPr>
          <w:p w:rsidR="0001200E" w:rsidRPr="00E27CC1" w:rsidRDefault="00BA7DA5" w:rsidP="00EB22D1">
            <w:pPr>
              <w:jc w:val="right"/>
              <w:rPr>
                <w:rFonts w:asciiTheme="minorHAnsi" w:hAnsiTheme="minorHAnsi"/>
                <w:lang w:val="sr-Latn-CS"/>
              </w:rPr>
            </w:pPr>
            <w:r>
              <w:rPr>
                <w:rFonts w:asciiTheme="minorHAnsi" w:hAnsiTheme="minorHAnsi"/>
                <w:lang w:val="sr-Latn-CS"/>
              </w:rPr>
              <w:t>61.333</w:t>
            </w:r>
          </w:p>
        </w:tc>
      </w:tr>
      <w:tr w:rsidR="00017DA8" w:rsidRPr="00E27CC1" w:rsidTr="00B02D60">
        <w:trPr>
          <w:trHeight w:val="294"/>
        </w:trPr>
        <w:tc>
          <w:tcPr>
            <w:tcW w:w="2093" w:type="dxa"/>
          </w:tcPr>
          <w:p w:rsidR="00017DA8" w:rsidRPr="00E27CC1" w:rsidRDefault="00017DA8" w:rsidP="00E52036">
            <w:pPr>
              <w:jc w:val="both"/>
              <w:rPr>
                <w:rFonts w:asciiTheme="minorHAnsi" w:hAnsiTheme="minorHAnsi"/>
                <w:lang w:val="sr-Latn-CS"/>
              </w:rPr>
            </w:pPr>
            <w:r w:rsidRPr="00E27CC1">
              <w:rPr>
                <w:rFonts w:asciiTheme="minorHAnsi" w:hAnsiTheme="minorHAnsi"/>
                <w:lang w:val="sr-Latn-CS"/>
              </w:rPr>
              <w:t xml:space="preserve">Ostali prihodi/rashodi </w:t>
            </w:r>
          </w:p>
        </w:tc>
        <w:tc>
          <w:tcPr>
            <w:tcW w:w="2126" w:type="dxa"/>
          </w:tcPr>
          <w:p w:rsidR="00017DA8" w:rsidRPr="00E27CC1" w:rsidRDefault="004F76B9" w:rsidP="00B02D60">
            <w:pPr>
              <w:jc w:val="right"/>
              <w:rPr>
                <w:rFonts w:asciiTheme="minorHAnsi" w:hAnsiTheme="minorHAnsi"/>
                <w:lang w:val="sr-Latn-CS"/>
              </w:rPr>
            </w:pPr>
            <w:r>
              <w:rPr>
                <w:rFonts w:asciiTheme="minorHAnsi" w:hAnsiTheme="minorHAnsi"/>
                <w:lang w:val="sr-Latn-CS"/>
              </w:rPr>
              <w:t>26.998</w:t>
            </w:r>
          </w:p>
        </w:tc>
        <w:tc>
          <w:tcPr>
            <w:tcW w:w="1701" w:type="dxa"/>
          </w:tcPr>
          <w:p w:rsidR="00017DA8" w:rsidRPr="00E27CC1" w:rsidRDefault="001B398F" w:rsidP="00A02927">
            <w:pPr>
              <w:jc w:val="right"/>
              <w:rPr>
                <w:rFonts w:asciiTheme="minorHAnsi" w:hAnsiTheme="minorHAnsi"/>
                <w:lang w:val="sr-Latn-CS"/>
              </w:rPr>
            </w:pPr>
            <w:r>
              <w:rPr>
                <w:rFonts w:asciiTheme="minorHAnsi" w:hAnsiTheme="minorHAnsi"/>
                <w:lang w:val="sr-Latn-CS"/>
              </w:rPr>
              <w:t>0</w:t>
            </w:r>
          </w:p>
        </w:tc>
        <w:tc>
          <w:tcPr>
            <w:tcW w:w="2552" w:type="dxa"/>
          </w:tcPr>
          <w:p w:rsidR="00017DA8" w:rsidRPr="00E27CC1" w:rsidRDefault="00BA7DA5" w:rsidP="00A02927">
            <w:pPr>
              <w:jc w:val="right"/>
              <w:rPr>
                <w:rFonts w:asciiTheme="minorHAnsi" w:hAnsiTheme="minorHAnsi"/>
                <w:lang w:val="sr-Latn-CS"/>
              </w:rPr>
            </w:pPr>
            <w:r>
              <w:rPr>
                <w:rFonts w:asciiTheme="minorHAnsi" w:hAnsiTheme="minorHAnsi"/>
                <w:lang w:val="sr-Latn-CS"/>
              </w:rPr>
              <w:t>26.998</w:t>
            </w:r>
          </w:p>
        </w:tc>
      </w:tr>
      <w:tr w:rsidR="001B398F" w:rsidRPr="00E27CC1" w:rsidTr="00C934BA">
        <w:trPr>
          <w:trHeight w:val="294"/>
        </w:trPr>
        <w:tc>
          <w:tcPr>
            <w:tcW w:w="2093" w:type="dxa"/>
            <w:vAlign w:val="center"/>
          </w:tcPr>
          <w:p w:rsidR="001B398F" w:rsidRPr="001B398F" w:rsidRDefault="001B398F" w:rsidP="00C934BA">
            <w:pPr>
              <w:jc w:val="both"/>
              <w:rPr>
                <w:rFonts w:ascii="Calibri" w:hAnsi="Calibri" w:cs="Calibri"/>
                <w:color w:val="000000"/>
              </w:rPr>
            </w:pPr>
            <w:proofErr w:type="spellStart"/>
            <w:r w:rsidRPr="001B398F">
              <w:rPr>
                <w:rFonts w:ascii="Calibri" w:hAnsi="Calibri" w:cs="Calibri"/>
                <w:color w:val="000000"/>
              </w:rPr>
              <w:t>Dobici</w:t>
            </w:r>
            <w:proofErr w:type="spellEnd"/>
            <w:r w:rsidRPr="001B398F">
              <w:rPr>
                <w:rFonts w:ascii="Calibri" w:hAnsi="Calibri" w:cs="Calibri"/>
                <w:color w:val="000000"/>
              </w:rPr>
              <w:t>/</w:t>
            </w:r>
            <w:proofErr w:type="spellStart"/>
            <w:r w:rsidRPr="001B398F">
              <w:rPr>
                <w:rFonts w:ascii="Calibri" w:hAnsi="Calibri" w:cs="Calibri"/>
                <w:color w:val="000000"/>
              </w:rPr>
              <w:t>gubici</w:t>
            </w:r>
            <w:proofErr w:type="spellEnd"/>
            <w:r w:rsidRPr="001B398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B398F">
              <w:rPr>
                <w:rFonts w:ascii="Calibri" w:hAnsi="Calibri" w:cs="Calibri"/>
                <w:color w:val="000000"/>
              </w:rPr>
              <w:t>od</w:t>
            </w:r>
            <w:proofErr w:type="spellEnd"/>
            <w:r w:rsidRPr="001B398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B398F">
              <w:rPr>
                <w:rFonts w:ascii="Calibri" w:hAnsi="Calibri" w:cs="Calibri"/>
                <w:color w:val="000000"/>
              </w:rPr>
              <w:t>prodaje</w:t>
            </w:r>
            <w:proofErr w:type="spellEnd"/>
            <w:r w:rsidRPr="001B398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B398F">
              <w:rPr>
                <w:rFonts w:ascii="Calibri" w:hAnsi="Calibri" w:cs="Calibri"/>
                <w:color w:val="000000"/>
              </w:rPr>
              <w:t>hov</w:t>
            </w:r>
            <w:proofErr w:type="spellEnd"/>
            <w:r w:rsidRPr="001B398F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2126" w:type="dxa"/>
          </w:tcPr>
          <w:p w:rsidR="001B398F" w:rsidRPr="00E27CC1" w:rsidRDefault="004F76B9" w:rsidP="00B02D60">
            <w:pPr>
              <w:jc w:val="right"/>
              <w:rPr>
                <w:rFonts w:asciiTheme="minorHAnsi" w:hAnsiTheme="minorHAnsi"/>
                <w:lang w:val="sr-Latn-CS"/>
              </w:rPr>
            </w:pPr>
            <w:r>
              <w:rPr>
                <w:rFonts w:asciiTheme="minorHAnsi" w:hAnsiTheme="minorHAnsi"/>
                <w:lang w:val="sr-Latn-CS"/>
              </w:rPr>
              <w:t>3.155</w:t>
            </w:r>
          </w:p>
        </w:tc>
        <w:tc>
          <w:tcPr>
            <w:tcW w:w="1701" w:type="dxa"/>
          </w:tcPr>
          <w:p w:rsidR="001B398F" w:rsidRPr="00E27CC1" w:rsidRDefault="003F11F9" w:rsidP="00BA7DA5">
            <w:pPr>
              <w:jc w:val="right"/>
              <w:rPr>
                <w:rFonts w:asciiTheme="minorHAnsi" w:hAnsiTheme="minorHAnsi"/>
                <w:lang w:val="sr-Latn-CS"/>
              </w:rPr>
            </w:pPr>
            <w:r>
              <w:rPr>
                <w:rFonts w:asciiTheme="minorHAnsi" w:hAnsiTheme="minorHAnsi"/>
                <w:lang w:val="sr-Latn-CS"/>
              </w:rPr>
              <w:t>27</w:t>
            </w:r>
          </w:p>
        </w:tc>
        <w:tc>
          <w:tcPr>
            <w:tcW w:w="2552" w:type="dxa"/>
          </w:tcPr>
          <w:p w:rsidR="001B398F" w:rsidRPr="00E27CC1" w:rsidRDefault="003F11F9" w:rsidP="00BA7DA5">
            <w:pPr>
              <w:jc w:val="right"/>
              <w:rPr>
                <w:rFonts w:asciiTheme="minorHAnsi" w:hAnsiTheme="minorHAnsi"/>
                <w:lang w:val="sr-Latn-CS"/>
              </w:rPr>
            </w:pPr>
            <w:r>
              <w:rPr>
                <w:rFonts w:asciiTheme="minorHAnsi" w:hAnsiTheme="minorHAnsi"/>
                <w:lang w:val="sr-Latn-CS"/>
              </w:rPr>
              <w:t>3.128</w:t>
            </w:r>
          </w:p>
        </w:tc>
        <w:bookmarkStart w:id="0" w:name="_GoBack"/>
        <w:bookmarkEnd w:id="0"/>
      </w:tr>
      <w:tr w:rsidR="001B398F" w:rsidRPr="00FB5A1B" w:rsidTr="00B02D60">
        <w:tc>
          <w:tcPr>
            <w:tcW w:w="2093" w:type="dxa"/>
          </w:tcPr>
          <w:p w:rsidR="001B398F" w:rsidRPr="00E27CC1" w:rsidRDefault="001B398F" w:rsidP="00A02927">
            <w:pPr>
              <w:jc w:val="both"/>
              <w:rPr>
                <w:rFonts w:asciiTheme="minorHAnsi" w:hAnsiTheme="minorHAnsi"/>
                <w:b/>
                <w:lang w:val="sr-Latn-CS"/>
              </w:rPr>
            </w:pPr>
            <w:r w:rsidRPr="00E27CC1">
              <w:rPr>
                <w:rFonts w:asciiTheme="minorHAnsi" w:hAnsiTheme="minorHAnsi"/>
                <w:b/>
                <w:lang w:val="sr-Latn-CS"/>
              </w:rPr>
              <w:t>Ukupno</w:t>
            </w:r>
          </w:p>
        </w:tc>
        <w:tc>
          <w:tcPr>
            <w:tcW w:w="2126" w:type="dxa"/>
          </w:tcPr>
          <w:p w:rsidR="001B398F" w:rsidRPr="00E27CC1" w:rsidRDefault="001B398F" w:rsidP="004F76B9">
            <w:pPr>
              <w:jc w:val="right"/>
              <w:rPr>
                <w:rFonts w:asciiTheme="minorHAnsi" w:hAnsiTheme="minorHAnsi"/>
                <w:b/>
                <w:lang w:val="sr-Latn-CS"/>
              </w:rPr>
            </w:pPr>
            <w:r w:rsidRPr="00E27CC1">
              <w:rPr>
                <w:rFonts w:asciiTheme="minorHAnsi" w:hAnsiTheme="minorHAnsi"/>
                <w:b/>
                <w:lang w:val="sr-Latn-CS"/>
              </w:rPr>
              <w:t>3.</w:t>
            </w:r>
            <w:r w:rsidR="004F76B9">
              <w:rPr>
                <w:rFonts w:asciiTheme="minorHAnsi" w:hAnsiTheme="minorHAnsi"/>
                <w:b/>
                <w:lang w:val="sr-Latn-CS"/>
              </w:rPr>
              <w:t>313.310</w:t>
            </w:r>
          </w:p>
        </w:tc>
        <w:tc>
          <w:tcPr>
            <w:tcW w:w="1701" w:type="dxa"/>
          </w:tcPr>
          <w:p w:rsidR="001B398F" w:rsidRPr="00E27CC1" w:rsidRDefault="001B398F" w:rsidP="003F11F9">
            <w:pPr>
              <w:jc w:val="right"/>
              <w:rPr>
                <w:rFonts w:asciiTheme="minorHAnsi" w:hAnsiTheme="minorHAnsi"/>
                <w:b/>
                <w:lang w:val="sr-Latn-CS"/>
              </w:rPr>
            </w:pPr>
            <w:r w:rsidRPr="00E27CC1">
              <w:rPr>
                <w:rFonts w:asciiTheme="minorHAnsi" w:hAnsiTheme="minorHAnsi"/>
                <w:b/>
                <w:lang w:val="sr-Latn-CS"/>
              </w:rPr>
              <w:t>1.</w:t>
            </w:r>
            <w:r w:rsidR="008877D6">
              <w:rPr>
                <w:rFonts w:asciiTheme="minorHAnsi" w:hAnsiTheme="minorHAnsi"/>
                <w:b/>
                <w:lang w:val="sr-Latn-CS"/>
              </w:rPr>
              <w:t>197.343</w:t>
            </w:r>
            <w:r w:rsidRPr="00E27CC1">
              <w:rPr>
                <w:rFonts w:asciiTheme="minorHAnsi" w:hAnsiTheme="minorHAnsi"/>
                <w:b/>
                <w:lang w:val="sr-Latn-CS"/>
              </w:rPr>
              <w:t xml:space="preserve">               </w:t>
            </w:r>
          </w:p>
        </w:tc>
        <w:tc>
          <w:tcPr>
            <w:tcW w:w="2552" w:type="dxa"/>
          </w:tcPr>
          <w:p w:rsidR="001B398F" w:rsidRDefault="001B398F" w:rsidP="001B398F">
            <w:pPr>
              <w:jc w:val="right"/>
              <w:rPr>
                <w:rFonts w:asciiTheme="minorHAnsi" w:hAnsiTheme="minorHAnsi"/>
                <w:b/>
                <w:lang w:val="sr-Latn-CS"/>
              </w:rPr>
            </w:pPr>
            <w:r w:rsidRPr="00E27CC1">
              <w:rPr>
                <w:rFonts w:asciiTheme="minorHAnsi" w:hAnsiTheme="minorHAnsi"/>
                <w:b/>
                <w:lang w:val="sr-Latn-CS"/>
              </w:rPr>
              <w:t>2.</w:t>
            </w:r>
            <w:r w:rsidR="008877D6">
              <w:rPr>
                <w:rFonts w:asciiTheme="minorHAnsi" w:hAnsiTheme="minorHAnsi"/>
                <w:b/>
                <w:lang w:val="sr-Latn-CS"/>
              </w:rPr>
              <w:t>115.967</w:t>
            </w:r>
          </w:p>
          <w:p w:rsidR="003F11F9" w:rsidRPr="00E27CC1" w:rsidRDefault="003F11F9" w:rsidP="001B398F">
            <w:pPr>
              <w:jc w:val="right"/>
              <w:rPr>
                <w:rFonts w:asciiTheme="minorHAnsi" w:hAnsiTheme="minorHAnsi"/>
                <w:b/>
                <w:lang w:val="sr-Latn-CS"/>
              </w:rPr>
            </w:pPr>
          </w:p>
        </w:tc>
      </w:tr>
    </w:tbl>
    <w:p w:rsidR="00C23E30" w:rsidRDefault="00C23E30" w:rsidP="0001200E">
      <w:pPr>
        <w:jc w:val="both"/>
        <w:rPr>
          <w:rFonts w:asciiTheme="minorHAnsi" w:hAnsiTheme="minorHAnsi"/>
          <w:lang w:val="hr-HR"/>
        </w:rPr>
      </w:pPr>
    </w:p>
    <w:p w:rsidR="0001200E" w:rsidRPr="00567AFB" w:rsidRDefault="0097668C" w:rsidP="000E0B06">
      <w:pPr>
        <w:pStyle w:val="ListParagraph"/>
        <w:numPr>
          <w:ilvl w:val="0"/>
          <w:numId w:val="13"/>
        </w:numPr>
        <w:tabs>
          <w:tab w:val="left" w:pos="6510"/>
        </w:tabs>
        <w:jc w:val="both"/>
        <w:rPr>
          <w:rFonts w:asciiTheme="minorHAnsi" w:hAnsiTheme="minorHAnsi"/>
          <w:b/>
          <w:lang w:val="hr-HR"/>
        </w:rPr>
      </w:pPr>
      <w:r w:rsidRPr="00567AFB">
        <w:rPr>
          <w:rFonts w:asciiTheme="minorHAnsi" w:hAnsiTheme="minorHAnsi"/>
          <w:b/>
          <w:lang w:val="hr-HR"/>
        </w:rPr>
        <w:t xml:space="preserve">Porez na dobit </w:t>
      </w:r>
    </w:p>
    <w:p w:rsidR="00420F65" w:rsidRDefault="00420F65" w:rsidP="0001200E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45"/>
        <w:gridCol w:w="2268"/>
      </w:tblGrid>
      <w:tr w:rsidR="007A76E9" w:rsidRPr="004F6739" w:rsidTr="00A57842">
        <w:tc>
          <w:tcPr>
            <w:tcW w:w="6345" w:type="dxa"/>
          </w:tcPr>
          <w:p w:rsidR="007A76E9" w:rsidRPr="004F6739" w:rsidRDefault="007A76E9" w:rsidP="00A57842">
            <w:pPr>
              <w:tabs>
                <w:tab w:val="left" w:pos="6510"/>
              </w:tabs>
              <w:jc w:val="both"/>
              <w:rPr>
                <w:rFonts w:asciiTheme="minorHAnsi" w:hAnsiTheme="minorHAnsi"/>
                <w:b/>
                <w:lang w:val="hr-HR"/>
              </w:rPr>
            </w:pPr>
            <w:r w:rsidRPr="004F6739">
              <w:rPr>
                <w:rFonts w:asciiTheme="minorHAnsi" w:hAnsiTheme="minorHAnsi"/>
                <w:b/>
                <w:lang w:val="hr-HR"/>
              </w:rPr>
              <w:t xml:space="preserve"> I Bruto dobitak  </w:t>
            </w:r>
          </w:p>
        </w:tc>
        <w:tc>
          <w:tcPr>
            <w:tcW w:w="2268" w:type="dxa"/>
          </w:tcPr>
          <w:p w:rsidR="007A76E9" w:rsidRPr="004F6739" w:rsidRDefault="007A76E9" w:rsidP="001B398F">
            <w:pPr>
              <w:tabs>
                <w:tab w:val="left" w:pos="6510"/>
              </w:tabs>
              <w:jc w:val="right"/>
              <w:rPr>
                <w:rFonts w:asciiTheme="minorHAnsi" w:hAnsiTheme="minorHAnsi"/>
                <w:b/>
                <w:lang w:val="hr-HR"/>
              </w:rPr>
            </w:pPr>
            <w:r w:rsidRPr="004F6739">
              <w:rPr>
                <w:rFonts w:asciiTheme="minorHAnsi" w:hAnsiTheme="minorHAnsi"/>
                <w:b/>
                <w:lang w:val="hr-HR"/>
              </w:rPr>
              <w:t>2.</w:t>
            </w:r>
            <w:r w:rsidR="008877D6">
              <w:rPr>
                <w:rFonts w:asciiTheme="minorHAnsi" w:hAnsiTheme="minorHAnsi"/>
                <w:b/>
                <w:lang w:val="hr-HR"/>
              </w:rPr>
              <w:t>115.967</w:t>
            </w:r>
            <w:r w:rsidRPr="004F6739">
              <w:rPr>
                <w:rFonts w:asciiTheme="minorHAnsi" w:hAnsiTheme="minorHAnsi"/>
                <w:b/>
                <w:lang w:val="hr-HR"/>
              </w:rPr>
              <w:t xml:space="preserve"> </w:t>
            </w:r>
          </w:p>
        </w:tc>
      </w:tr>
    </w:tbl>
    <w:p w:rsidR="00420F65" w:rsidRDefault="00420F65" w:rsidP="0001200E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45"/>
        <w:gridCol w:w="2268"/>
      </w:tblGrid>
      <w:tr w:rsidR="00507E9A" w:rsidRPr="007C5B75" w:rsidTr="00507E9A">
        <w:tc>
          <w:tcPr>
            <w:tcW w:w="6345" w:type="dxa"/>
          </w:tcPr>
          <w:p w:rsidR="00507E9A" w:rsidRPr="007C5B75" w:rsidRDefault="00507E9A" w:rsidP="0001200E">
            <w:pPr>
              <w:tabs>
                <w:tab w:val="left" w:pos="6510"/>
              </w:tabs>
              <w:jc w:val="both"/>
              <w:rPr>
                <w:rFonts w:asciiTheme="minorHAnsi" w:hAnsiTheme="minorHAnsi"/>
                <w:lang w:val="hr-HR"/>
              </w:rPr>
            </w:pPr>
            <w:r w:rsidRPr="007C5B75">
              <w:rPr>
                <w:rFonts w:asciiTheme="minorHAnsi" w:hAnsiTheme="minorHAnsi"/>
                <w:lang w:val="hr-HR"/>
              </w:rPr>
              <w:t>Neoporezivi prihod – dividenda u RS</w:t>
            </w:r>
          </w:p>
        </w:tc>
        <w:tc>
          <w:tcPr>
            <w:tcW w:w="2268" w:type="dxa"/>
          </w:tcPr>
          <w:p w:rsidR="00507E9A" w:rsidRPr="007C5B75" w:rsidRDefault="00F8574B" w:rsidP="00982815">
            <w:pPr>
              <w:tabs>
                <w:tab w:val="left" w:pos="6510"/>
              </w:tabs>
              <w:jc w:val="right"/>
              <w:rPr>
                <w:rFonts w:asciiTheme="minorHAnsi" w:hAnsiTheme="minorHAnsi"/>
                <w:lang w:val="hr-HR"/>
              </w:rPr>
            </w:pPr>
            <w:r>
              <w:rPr>
                <w:rFonts w:asciiTheme="minorHAnsi" w:hAnsiTheme="minorHAnsi"/>
                <w:lang w:val="hr-HR"/>
              </w:rPr>
              <w:t>11.053</w:t>
            </w:r>
          </w:p>
        </w:tc>
      </w:tr>
      <w:tr w:rsidR="00B36ACA" w:rsidRPr="007C5B75" w:rsidTr="00507E9A">
        <w:tc>
          <w:tcPr>
            <w:tcW w:w="6345" w:type="dxa"/>
          </w:tcPr>
          <w:p w:rsidR="00B36ACA" w:rsidRPr="007C5B75" w:rsidRDefault="00B36ACA" w:rsidP="00807D5B">
            <w:pPr>
              <w:tabs>
                <w:tab w:val="left" w:pos="6510"/>
              </w:tabs>
              <w:jc w:val="both"/>
              <w:rPr>
                <w:rFonts w:asciiTheme="minorHAnsi" w:hAnsiTheme="minorHAnsi"/>
                <w:lang w:val="hr-HR"/>
              </w:rPr>
            </w:pPr>
            <w:r w:rsidRPr="007C5B75">
              <w:rPr>
                <w:rFonts w:asciiTheme="minorHAnsi" w:hAnsiTheme="minorHAnsi"/>
                <w:lang w:val="hr-HR"/>
              </w:rPr>
              <w:t xml:space="preserve">Neoporezivi prihod – </w:t>
            </w:r>
            <w:r w:rsidR="00807D5B">
              <w:rPr>
                <w:rFonts w:asciiTheme="minorHAnsi" w:hAnsiTheme="minorHAnsi"/>
                <w:lang w:val="hr-HR"/>
              </w:rPr>
              <w:t>kamata na</w:t>
            </w:r>
            <w:r>
              <w:rPr>
                <w:rFonts w:asciiTheme="minorHAnsi" w:hAnsiTheme="minorHAnsi"/>
                <w:lang w:val="hr-HR"/>
              </w:rPr>
              <w:t xml:space="preserve"> duž</w:t>
            </w:r>
            <w:r w:rsidR="00807D5B">
              <w:rPr>
                <w:rFonts w:asciiTheme="minorHAnsi" w:hAnsiTheme="minorHAnsi"/>
                <w:lang w:val="hr-HR"/>
              </w:rPr>
              <w:t xml:space="preserve">ničke </w:t>
            </w:r>
            <w:r>
              <w:rPr>
                <w:rFonts w:asciiTheme="minorHAnsi" w:hAnsiTheme="minorHAnsi"/>
                <w:lang w:val="hr-HR"/>
              </w:rPr>
              <w:t xml:space="preserve">hov </w:t>
            </w:r>
          </w:p>
        </w:tc>
        <w:tc>
          <w:tcPr>
            <w:tcW w:w="2268" w:type="dxa"/>
          </w:tcPr>
          <w:p w:rsidR="00B36ACA" w:rsidRDefault="00F8574B" w:rsidP="00982815">
            <w:pPr>
              <w:tabs>
                <w:tab w:val="left" w:pos="6510"/>
              </w:tabs>
              <w:jc w:val="right"/>
              <w:rPr>
                <w:rFonts w:asciiTheme="minorHAnsi" w:hAnsiTheme="minorHAnsi"/>
                <w:lang w:val="hr-HR"/>
              </w:rPr>
            </w:pPr>
            <w:r>
              <w:rPr>
                <w:rFonts w:asciiTheme="minorHAnsi" w:hAnsiTheme="minorHAnsi"/>
                <w:lang w:val="hr-HR"/>
              </w:rPr>
              <w:t>124</w:t>
            </w:r>
          </w:p>
        </w:tc>
      </w:tr>
      <w:tr w:rsidR="00156E6C" w:rsidRPr="007C5B75" w:rsidTr="00507E9A">
        <w:tc>
          <w:tcPr>
            <w:tcW w:w="6345" w:type="dxa"/>
          </w:tcPr>
          <w:p w:rsidR="00156E6C" w:rsidRPr="007C5B75" w:rsidRDefault="00156E6C" w:rsidP="0001200E">
            <w:pPr>
              <w:tabs>
                <w:tab w:val="left" w:pos="6510"/>
              </w:tabs>
              <w:jc w:val="both"/>
              <w:rPr>
                <w:rFonts w:asciiTheme="minorHAnsi" w:hAnsiTheme="minorHAnsi"/>
                <w:lang w:val="hr-HR"/>
              </w:rPr>
            </w:pPr>
            <w:r w:rsidRPr="007C5B75">
              <w:rPr>
                <w:rFonts w:asciiTheme="minorHAnsi" w:hAnsiTheme="minorHAnsi"/>
                <w:lang w:val="hr-HR"/>
              </w:rPr>
              <w:t xml:space="preserve">Rashodi amortizacije koji se priznaju </w:t>
            </w:r>
          </w:p>
        </w:tc>
        <w:tc>
          <w:tcPr>
            <w:tcW w:w="2268" w:type="dxa"/>
          </w:tcPr>
          <w:p w:rsidR="00156E6C" w:rsidRPr="007B20B3" w:rsidRDefault="00F8574B" w:rsidP="00982815">
            <w:pPr>
              <w:tabs>
                <w:tab w:val="left" w:pos="6510"/>
              </w:tabs>
              <w:jc w:val="right"/>
              <w:rPr>
                <w:rFonts w:asciiTheme="minorHAnsi" w:hAnsiTheme="minorHAnsi"/>
                <w:highlight w:val="yellow"/>
                <w:lang w:val="hr-HR"/>
              </w:rPr>
            </w:pPr>
            <w:r>
              <w:rPr>
                <w:rFonts w:asciiTheme="minorHAnsi" w:hAnsiTheme="minorHAnsi"/>
                <w:lang w:val="hr-HR"/>
              </w:rPr>
              <w:t>0</w:t>
            </w:r>
          </w:p>
        </w:tc>
      </w:tr>
      <w:tr w:rsidR="00507E9A" w:rsidRPr="007C5B75" w:rsidTr="00507E9A">
        <w:tc>
          <w:tcPr>
            <w:tcW w:w="6345" w:type="dxa"/>
          </w:tcPr>
          <w:p w:rsidR="00507E9A" w:rsidRPr="007C5B75" w:rsidRDefault="007A76E9" w:rsidP="00C024AC">
            <w:pPr>
              <w:tabs>
                <w:tab w:val="left" w:pos="6510"/>
              </w:tabs>
              <w:jc w:val="both"/>
              <w:rPr>
                <w:rFonts w:asciiTheme="minorHAnsi" w:hAnsiTheme="minorHAnsi"/>
                <w:b/>
                <w:lang w:val="hr-HR"/>
              </w:rPr>
            </w:pPr>
            <w:r w:rsidRPr="007C5B75">
              <w:rPr>
                <w:rFonts w:asciiTheme="minorHAnsi" w:hAnsiTheme="minorHAnsi"/>
                <w:b/>
                <w:lang w:val="hr-HR"/>
              </w:rPr>
              <w:t xml:space="preserve"> I</w:t>
            </w:r>
            <w:r w:rsidR="00C024AC" w:rsidRPr="007C5B75">
              <w:rPr>
                <w:rFonts w:asciiTheme="minorHAnsi" w:hAnsiTheme="minorHAnsi"/>
                <w:b/>
                <w:lang w:val="hr-HR"/>
              </w:rPr>
              <w:t xml:space="preserve">I </w:t>
            </w:r>
            <w:r w:rsidR="00B15CD5">
              <w:rPr>
                <w:rFonts w:asciiTheme="minorHAnsi" w:hAnsiTheme="minorHAnsi"/>
                <w:b/>
                <w:lang w:val="hr-HR"/>
              </w:rPr>
              <w:t>S</w:t>
            </w:r>
            <w:r w:rsidR="00C024AC" w:rsidRPr="007C5B75">
              <w:rPr>
                <w:rFonts w:asciiTheme="minorHAnsi" w:hAnsiTheme="minorHAnsi"/>
                <w:b/>
                <w:lang w:val="hr-HR"/>
              </w:rPr>
              <w:t>manjen</w:t>
            </w:r>
            <w:r w:rsidR="00B15CD5">
              <w:rPr>
                <w:rFonts w:asciiTheme="minorHAnsi" w:hAnsiTheme="minorHAnsi"/>
                <w:b/>
                <w:lang w:val="hr-HR"/>
              </w:rPr>
              <w:t>je</w:t>
            </w:r>
            <w:r w:rsidR="00C024AC" w:rsidRPr="007C5B75">
              <w:rPr>
                <w:rFonts w:asciiTheme="minorHAnsi" w:hAnsiTheme="minorHAnsi"/>
                <w:b/>
                <w:lang w:val="hr-HR"/>
              </w:rPr>
              <w:t xml:space="preserve"> poreske osnovice </w:t>
            </w:r>
            <w:r w:rsidR="00507E9A" w:rsidRPr="007C5B75">
              <w:rPr>
                <w:rFonts w:asciiTheme="minorHAnsi" w:hAnsiTheme="minorHAnsi"/>
                <w:b/>
                <w:lang w:val="hr-HR"/>
              </w:rPr>
              <w:t xml:space="preserve"> </w:t>
            </w:r>
          </w:p>
        </w:tc>
        <w:tc>
          <w:tcPr>
            <w:tcW w:w="2268" w:type="dxa"/>
          </w:tcPr>
          <w:p w:rsidR="00507E9A" w:rsidRPr="007C5B75" w:rsidRDefault="00F8574B" w:rsidP="00507E9A">
            <w:pPr>
              <w:tabs>
                <w:tab w:val="left" w:pos="6510"/>
              </w:tabs>
              <w:jc w:val="right"/>
              <w:rPr>
                <w:rFonts w:asciiTheme="minorHAnsi" w:hAnsiTheme="minorHAnsi"/>
                <w:b/>
                <w:lang w:val="hr-HR"/>
              </w:rPr>
            </w:pPr>
            <w:r>
              <w:rPr>
                <w:rFonts w:asciiTheme="minorHAnsi" w:hAnsiTheme="minorHAnsi"/>
                <w:b/>
                <w:lang w:val="hr-HR"/>
              </w:rPr>
              <w:t>11.177</w:t>
            </w:r>
          </w:p>
        </w:tc>
      </w:tr>
    </w:tbl>
    <w:p w:rsidR="006F2107" w:rsidRPr="007C5B75" w:rsidRDefault="006F2107" w:rsidP="007B20B3">
      <w:pPr>
        <w:shd w:val="clear" w:color="auto" w:fill="FFFFFF" w:themeFill="background1"/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45"/>
        <w:gridCol w:w="2268"/>
      </w:tblGrid>
      <w:tr w:rsidR="00507E9A" w:rsidRPr="007C5B75" w:rsidTr="00A57842">
        <w:tc>
          <w:tcPr>
            <w:tcW w:w="6345" w:type="dxa"/>
          </w:tcPr>
          <w:p w:rsidR="00507E9A" w:rsidRPr="007C5B75" w:rsidRDefault="00982815" w:rsidP="00567AFB">
            <w:pPr>
              <w:tabs>
                <w:tab w:val="left" w:pos="6510"/>
              </w:tabs>
              <w:jc w:val="both"/>
              <w:rPr>
                <w:rFonts w:asciiTheme="minorHAnsi" w:hAnsiTheme="minorHAnsi"/>
                <w:lang w:val="hr-HR"/>
              </w:rPr>
            </w:pPr>
            <w:r w:rsidRPr="007C5B75">
              <w:rPr>
                <w:rFonts w:asciiTheme="minorHAnsi" w:hAnsiTheme="minorHAnsi"/>
                <w:lang w:val="hr-HR"/>
              </w:rPr>
              <w:t xml:space="preserve">Kapitalni dobici od </w:t>
            </w:r>
            <w:r w:rsidR="00567AFB">
              <w:rPr>
                <w:rFonts w:asciiTheme="minorHAnsi" w:hAnsiTheme="minorHAnsi"/>
                <w:lang w:val="hr-HR"/>
              </w:rPr>
              <w:t xml:space="preserve">prodaje hov </w:t>
            </w:r>
            <w:r w:rsidRPr="007C5B75">
              <w:rPr>
                <w:rFonts w:asciiTheme="minorHAnsi" w:hAnsiTheme="minorHAnsi"/>
                <w:lang w:val="hr-HR"/>
              </w:rPr>
              <w:t xml:space="preserve"> </w:t>
            </w:r>
          </w:p>
        </w:tc>
        <w:tc>
          <w:tcPr>
            <w:tcW w:w="2268" w:type="dxa"/>
          </w:tcPr>
          <w:p w:rsidR="00507E9A" w:rsidRPr="007C5B75" w:rsidRDefault="00F873ED" w:rsidP="00A57842">
            <w:pPr>
              <w:tabs>
                <w:tab w:val="left" w:pos="6510"/>
              </w:tabs>
              <w:jc w:val="right"/>
              <w:rPr>
                <w:rFonts w:asciiTheme="minorHAnsi" w:hAnsiTheme="minorHAnsi"/>
                <w:lang w:val="hr-HR"/>
              </w:rPr>
            </w:pPr>
            <w:r>
              <w:rPr>
                <w:rFonts w:asciiTheme="minorHAnsi" w:hAnsiTheme="minorHAnsi"/>
                <w:lang w:val="hr-HR"/>
              </w:rPr>
              <w:t>2.503</w:t>
            </w:r>
          </w:p>
        </w:tc>
      </w:tr>
      <w:tr w:rsidR="00982815" w:rsidRPr="007C5B75" w:rsidTr="00A57842">
        <w:tc>
          <w:tcPr>
            <w:tcW w:w="6345" w:type="dxa"/>
          </w:tcPr>
          <w:p w:rsidR="00982815" w:rsidRPr="007C5B75" w:rsidRDefault="00982815" w:rsidP="007B20B3">
            <w:pPr>
              <w:tabs>
                <w:tab w:val="left" w:pos="6510"/>
              </w:tabs>
              <w:jc w:val="both"/>
              <w:rPr>
                <w:rFonts w:asciiTheme="minorHAnsi" w:hAnsiTheme="minorHAnsi"/>
                <w:lang w:val="hr-HR"/>
              </w:rPr>
            </w:pPr>
            <w:r w:rsidRPr="007C5B75">
              <w:rPr>
                <w:rFonts w:asciiTheme="minorHAnsi" w:hAnsiTheme="minorHAnsi"/>
                <w:lang w:val="hr-HR"/>
              </w:rPr>
              <w:lastRenderedPageBreak/>
              <w:t>Rashodi koji nisu u vezi sa djelatnošć</w:t>
            </w:r>
            <w:r w:rsidR="00D45465">
              <w:rPr>
                <w:rFonts w:asciiTheme="minorHAnsi" w:hAnsiTheme="minorHAnsi"/>
                <w:lang w:val="hr-HR"/>
              </w:rPr>
              <w:t>u</w:t>
            </w:r>
            <w:r w:rsidR="007B20B3">
              <w:rPr>
                <w:rFonts w:asciiTheme="minorHAnsi" w:hAnsiTheme="minorHAnsi"/>
                <w:lang w:val="hr-HR"/>
              </w:rPr>
              <w:t xml:space="preserve"> koju poreski obveznik obavlja </w:t>
            </w:r>
          </w:p>
        </w:tc>
        <w:tc>
          <w:tcPr>
            <w:tcW w:w="2268" w:type="dxa"/>
          </w:tcPr>
          <w:p w:rsidR="007A76E9" w:rsidRPr="007C5B75" w:rsidRDefault="009A27D2" w:rsidP="007A76E9">
            <w:pPr>
              <w:tabs>
                <w:tab w:val="left" w:pos="6510"/>
              </w:tabs>
              <w:jc w:val="right"/>
              <w:rPr>
                <w:rFonts w:asciiTheme="minorHAnsi" w:hAnsiTheme="minorHAnsi"/>
                <w:lang w:val="hr-HR"/>
              </w:rPr>
            </w:pPr>
            <w:r>
              <w:rPr>
                <w:rFonts w:asciiTheme="minorHAnsi" w:hAnsiTheme="minorHAnsi"/>
                <w:lang w:val="hr-HR"/>
              </w:rPr>
              <w:t>248</w:t>
            </w:r>
          </w:p>
        </w:tc>
      </w:tr>
      <w:tr w:rsidR="00982815" w:rsidRPr="007C5B75" w:rsidTr="00A57842">
        <w:tc>
          <w:tcPr>
            <w:tcW w:w="6345" w:type="dxa"/>
          </w:tcPr>
          <w:p w:rsidR="00982815" w:rsidRPr="007C5B75" w:rsidRDefault="00982815" w:rsidP="00A57842">
            <w:pPr>
              <w:tabs>
                <w:tab w:val="left" w:pos="6510"/>
              </w:tabs>
              <w:jc w:val="both"/>
              <w:rPr>
                <w:rFonts w:asciiTheme="minorHAnsi" w:hAnsiTheme="minorHAnsi"/>
                <w:lang w:val="hr-HR"/>
              </w:rPr>
            </w:pPr>
            <w:r w:rsidRPr="007C5B75">
              <w:rPr>
                <w:rFonts w:asciiTheme="minorHAnsi" w:hAnsiTheme="minorHAnsi"/>
                <w:lang w:val="hr-HR"/>
              </w:rPr>
              <w:t xml:space="preserve">Troškovi reprezentacije </w:t>
            </w:r>
          </w:p>
        </w:tc>
        <w:tc>
          <w:tcPr>
            <w:tcW w:w="2268" w:type="dxa"/>
          </w:tcPr>
          <w:p w:rsidR="00982815" w:rsidRPr="007C5B75" w:rsidRDefault="00F8574B" w:rsidP="00A57842">
            <w:pPr>
              <w:tabs>
                <w:tab w:val="left" w:pos="6510"/>
              </w:tabs>
              <w:jc w:val="right"/>
              <w:rPr>
                <w:rFonts w:asciiTheme="minorHAnsi" w:hAnsiTheme="minorHAnsi"/>
                <w:lang w:val="hr-HR"/>
              </w:rPr>
            </w:pPr>
            <w:r>
              <w:rPr>
                <w:rFonts w:asciiTheme="minorHAnsi" w:hAnsiTheme="minorHAnsi"/>
                <w:lang w:val="hr-HR"/>
              </w:rPr>
              <w:t>5.083</w:t>
            </w:r>
          </w:p>
        </w:tc>
      </w:tr>
      <w:tr w:rsidR="00156E6C" w:rsidRPr="007C5B75" w:rsidTr="000B4BE6">
        <w:tc>
          <w:tcPr>
            <w:tcW w:w="6345" w:type="dxa"/>
          </w:tcPr>
          <w:p w:rsidR="00156E6C" w:rsidRPr="007C5B75" w:rsidRDefault="00156E6C" w:rsidP="00A57842">
            <w:pPr>
              <w:tabs>
                <w:tab w:val="left" w:pos="6510"/>
              </w:tabs>
              <w:jc w:val="both"/>
              <w:rPr>
                <w:rFonts w:asciiTheme="minorHAnsi" w:hAnsiTheme="minorHAnsi"/>
                <w:lang w:val="hr-HR"/>
              </w:rPr>
            </w:pPr>
            <w:r w:rsidRPr="007C5B75">
              <w:rPr>
                <w:rFonts w:asciiTheme="minorHAnsi" w:hAnsiTheme="minorHAnsi"/>
                <w:lang w:val="hr-HR"/>
              </w:rPr>
              <w:t>Rashodi amortizacije koji se ne priznaju</w:t>
            </w:r>
          </w:p>
        </w:tc>
        <w:tc>
          <w:tcPr>
            <w:tcW w:w="2268" w:type="dxa"/>
            <w:shd w:val="clear" w:color="auto" w:fill="auto"/>
          </w:tcPr>
          <w:p w:rsidR="00156E6C" w:rsidRPr="007B20B3" w:rsidRDefault="009A27D2" w:rsidP="00A57842">
            <w:pPr>
              <w:tabs>
                <w:tab w:val="left" w:pos="6510"/>
              </w:tabs>
              <w:jc w:val="right"/>
              <w:rPr>
                <w:rFonts w:asciiTheme="minorHAnsi" w:hAnsiTheme="minorHAnsi"/>
                <w:highlight w:val="yellow"/>
                <w:lang w:val="hr-HR"/>
              </w:rPr>
            </w:pPr>
            <w:r>
              <w:rPr>
                <w:rFonts w:asciiTheme="minorHAnsi" w:hAnsiTheme="minorHAnsi"/>
                <w:lang w:val="hr-HR"/>
              </w:rPr>
              <w:t>104</w:t>
            </w:r>
          </w:p>
        </w:tc>
      </w:tr>
      <w:tr w:rsidR="00982815" w:rsidRPr="007C5B75" w:rsidTr="00A57842">
        <w:tc>
          <w:tcPr>
            <w:tcW w:w="6345" w:type="dxa"/>
          </w:tcPr>
          <w:p w:rsidR="00982815" w:rsidRPr="007C5B75" w:rsidRDefault="004F6739" w:rsidP="00A57842">
            <w:pPr>
              <w:tabs>
                <w:tab w:val="left" w:pos="6510"/>
              </w:tabs>
              <w:jc w:val="both"/>
              <w:rPr>
                <w:rFonts w:asciiTheme="minorHAnsi" w:hAnsiTheme="minorHAnsi"/>
                <w:b/>
                <w:lang w:val="hr-HR"/>
              </w:rPr>
            </w:pPr>
            <w:r w:rsidRPr="007C5B75">
              <w:rPr>
                <w:rFonts w:asciiTheme="minorHAnsi" w:hAnsiTheme="minorHAnsi"/>
                <w:b/>
                <w:lang w:val="hr-HR"/>
              </w:rPr>
              <w:t xml:space="preserve">III </w:t>
            </w:r>
            <w:r w:rsidR="00C024AC" w:rsidRPr="007C5B75">
              <w:rPr>
                <w:rFonts w:asciiTheme="minorHAnsi" w:hAnsiTheme="minorHAnsi"/>
                <w:b/>
                <w:lang w:val="hr-HR"/>
              </w:rPr>
              <w:t xml:space="preserve">Povećanje poreske osnovice </w:t>
            </w:r>
            <w:r w:rsidR="00982815" w:rsidRPr="007C5B75">
              <w:rPr>
                <w:rFonts w:asciiTheme="minorHAnsi" w:hAnsiTheme="minorHAnsi"/>
                <w:b/>
                <w:lang w:val="hr-HR"/>
              </w:rPr>
              <w:t xml:space="preserve"> </w:t>
            </w:r>
          </w:p>
        </w:tc>
        <w:tc>
          <w:tcPr>
            <w:tcW w:w="2268" w:type="dxa"/>
          </w:tcPr>
          <w:p w:rsidR="00F873ED" w:rsidRPr="007C5B75" w:rsidRDefault="00F873ED" w:rsidP="00F873ED">
            <w:pPr>
              <w:tabs>
                <w:tab w:val="left" w:pos="6510"/>
              </w:tabs>
              <w:jc w:val="right"/>
              <w:rPr>
                <w:rFonts w:asciiTheme="minorHAnsi" w:hAnsiTheme="minorHAnsi"/>
                <w:b/>
                <w:lang w:val="hr-HR"/>
              </w:rPr>
            </w:pPr>
            <w:r>
              <w:rPr>
                <w:rFonts w:asciiTheme="minorHAnsi" w:hAnsiTheme="minorHAnsi"/>
                <w:b/>
                <w:lang w:val="hr-HR"/>
              </w:rPr>
              <w:t>7.938</w:t>
            </w:r>
          </w:p>
        </w:tc>
      </w:tr>
    </w:tbl>
    <w:p w:rsidR="00507E9A" w:rsidRPr="007C5B75" w:rsidRDefault="00507E9A" w:rsidP="0001200E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45"/>
        <w:gridCol w:w="2268"/>
      </w:tblGrid>
      <w:tr w:rsidR="004F6739" w:rsidRPr="000745F3" w:rsidTr="00A57842">
        <w:tc>
          <w:tcPr>
            <w:tcW w:w="6345" w:type="dxa"/>
          </w:tcPr>
          <w:p w:rsidR="004F6739" w:rsidRPr="007C5B75" w:rsidRDefault="004F6739" w:rsidP="00A57842">
            <w:pPr>
              <w:tabs>
                <w:tab w:val="left" w:pos="6510"/>
              </w:tabs>
              <w:jc w:val="both"/>
              <w:rPr>
                <w:rFonts w:asciiTheme="minorHAnsi" w:hAnsiTheme="minorHAnsi"/>
                <w:b/>
                <w:lang w:val="hr-HR"/>
              </w:rPr>
            </w:pPr>
            <w:r w:rsidRPr="007C5B75">
              <w:rPr>
                <w:rFonts w:asciiTheme="minorHAnsi" w:hAnsiTheme="minorHAnsi"/>
                <w:b/>
                <w:lang w:val="hr-HR"/>
              </w:rPr>
              <w:t xml:space="preserve">I Osnovica za obračun poreza I-II+III  </w:t>
            </w:r>
          </w:p>
        </w:tc>
        <w:tc>
          <w:tcPr>
            <w:tcW w:w="2268" w:type="dxa"/>
          </w:tcPr>
          <w:p w:rsidR="004F6739" w:rsidRPr="007C5B75" w:rsidRDefault="00C86ECF" w:rsidP="00F873ED">
            <w:pPr>
              <w:tabs>
                <w:tab w:val="left" w:pos="6510"/>
              </w:tabs>
              <w:jc w:val="right"/>
              <w:rPr>
                <w:rFonts w:asciiTheme="minorHAnsi" w:hAnsiTheme="minorHAnsi"/>
                <w:b/>
                <w:lang w:val="hr-HR"/>
              </w:rPr>
            </w:pPr>
            <w:r>
              <w:rPr>
                <w:rFonts w:asciiTheme="minorHAnsi" w:hAnsiTheme="minorHAnsi"/>
                <w:b/>
                <w:lang w:val="hr-HR"/>
              </w:rPr>
              <w:t>2.</w:t>
            </w:r>
            <w:r w:rsidR="008877D6">
              <w:rPr>
                <w:rFonts w:asciiTheme="minorHAnsi" w:hAnsiTheme="minorHAnsi"/>
                <w:b/>
                <w:lang w:val="hr-HR"/>
              </w:rPr>
              <w:t>112.728</w:t>
            </w:r>
            <w:r w:rsidR="004F6739" w:rsidRPr="007C5B75">
              <w:rPr>
                <w:rFonts w:asciiTheme="minorHAnsi" w:hAnsiTheme="minorHAnsi"/>
                <w:b/>
                <w:lang w:val="hr-HR"/>
              </w:rPr>
              <w:t xml:space="preserve"> </w:t>
            </w:r>
          </w:p>
        </w:tc>
      </w:tr>
      <w:tr w:rsidR="004F6739" w:rsidRPr="000745F3" w:rsidTr="00A57842">
        <w:tc>
          <w:tcPr>
            <w:tcW w:w="6345" w:type="dxa"/>
          </w:tcPr>
          <w:p w:rsidR="004F6739" w:rsidRPr="007C5B75" w:rsidRDefault="004F6739" w:rsidP="00A57842">
            <w:pPr>
              <w:tabs>
                <w:tab w:val="left" w:pos="6510"/>
              </w:tabs>
              <w:jc w:val="both"/>
              <w:rPr>
                <w:rFonts w:asciiTheme="minorHAnsi" w:hAnsiTheme="minorHAnsi"/>
                <w:b/>
                <w:lang w:val="hr-HR"/>
              </w:rPr>
            </w:pPr>
            <w:r w:rsidRPr="007C5B75">
              <w:rPr>
                <w:rFonts w:asciiTheme="minorHAnsi" w:hAnsiTheme="minorHAnsi"/>
                <w:b/>
                <w:lang w:val="hr-HR"/>
              </w:rPr>
              <w:t>Porez na dobit 10 %</w:t>
            </w:r>
          </w:p>
        </w:tc>
        <w:tc>
          <w:tcPr>
            <w:tcW w:w="2268" w:type="dxa"/>
          </w:tcPr>
          <w:p w:rsidR="004F6739" w:rsidRPr="007C5B75" w:rsidRDefault="00F873ED" w:rsidP="00F9262B">
            <w:pPr>
              <w:tabs>
                <w:tab w:val="left" w:pos="6510"/>
              </w:tabs>
              <w:jc w:val="right"/>
              <w:rPr>
                <w:rFonts w:asciiTheme="minorHAnsi" w:hAnsiTheme="minorHAnsi"/>
                <w:b/>
                <w:lang w:val="hr-HR"/>
              </w:rPr>
            </w:pPr>
            <w:r>
              <w:rPr>
                <w:rFonts w:asciiTheme="minorHAnsi" w:hAnsiTheme="minorHAnsi"/>
                <w:b/>
                <w:lang w:val="hr-HR"/>
              </w:rPr>
              <w:t>2</w:t>
            </w:r>
            <w:r w:rsidR="008877D6">
              <w:rPr>
                <w:rFonts w:asciiTheme="minorHAnsi" w:hAnsiTheme="minorHAnsi"/>
                <w:b/>
                <w:lang w:val="hr-HR"/>
              </w:rPr>
              <w:t>11.273</w:t>
            </w:r>
          </w:p>
        </w:tc>
      </w:tr>
      <w:tr w:rsidR="004F6739" w:rsidRPr="000745F3" w:rsidTr="00A57842">
        <w:tc>
          <w:tcPr>
            <w:tcW w:w="6345" w:type="dxa"/>
          </w:tcPr>
          <w:p w:rsidR="004F6739" w:rsidRPr="007C5B75" w:rsidRDefault="004F6739" w:rsidP="00A57842">
            <w:pPr>
              <w:tabs>
                <w:tab w:val="left" w:pos="6510"/>
              </w:tabs>
              <w:jc w:val="both"/>
              <w:rPr>
                <w:rFonts w:asciiTheme="minorHAnsi" w:hAnsiTheme="minorHAnsi"/>
                <w:b/>
                <w:lang w:val="hr-HR"/>
              </w:rPr>
            </w:pPr>
            <w:r w:rsidRPr="007C5B75">
              <w:rPr>
                <w:rFonts w:asciiTheme="minorHAnsi" w:hAnsiTheme="minorHAnsi"/>
                <w:b/>
                <w:lang w:val="hr-HR"/>
              </w:rPr>
              <w:t xml:space="preserve">Plaćene akontacije </w:t>
            </w:r>
          </w:p>
        </w:tc>
        <w:tc>
          <w:tcPr>
            <w:tcW w:w="2268" w:type="dxa"/>
          </w:tcPr>
          <w:p w:rsidR="004F6739" w:rsidRPr="007C5B75" w:rsidRDefault="009A27D2" w:rsidP="00A57842">
            <w:pPr>
              <w:tabs>
                <w:tab w:val="left" w:pos="6510"/>
              </w:tabs>
              <w:jc w:val="right"/>
              <w:rPr>
                <w:rFonts w:asciiTheme="minorHAnsi" w:hAnsiTheme="minorHAnsi"/>
                <w:b/>
                <w:lang w:val="hr-HR"/>
              </w:rPr>
            </w:pPr>
            <w:r>
              <w:rPr>
                <w:rFonts w:asciiTheme="minorHAnsi" w:hAnsiTheme="minorHAnsi"/>
                <w:b/>
                <w:lang w:val="hr-HR"/>
              </w:rPr>
              <w:t>159.500</w:t>
            </w:r>
          </w:p>
        </w:tc>
      </w:tr>
      <w:tr w:rsidR="004F6739" w:rsidRPr="000745F3" w:rsidTr="00A57842">
        <w:tc>
          <w:tcPr>
            <w:tcW w:w="6345" w:type="dxa"/>
          </w:tcPr>
          <w:p w:rsidR="004F6739" w:rsidRPr="007C5B75" w:rsidRDefault="004F6739" w:rsidP="00A57842">
            <w:pPr>
              <w:tabs>
                <w:tab w:val="left" w:pos="6510"/>
              </w:tabs>
              <w:jc w:val="both"/>
              <w:rPr>
                <w:rFonts w:asciiTheme="minorHAnsi" w:hAnsiTheme="minorHAnsi"/>
                <w:b/>
                <w:lang w:val="hr-HR"/>
              </w:rPr>
            </w:pPr>
            <w:r w:rsidRPr="007C5B75">
              <w:rPr>
                <w:rFonts w:asciiTheme="minorHAnsi" w:hAnsiTheme="minorHAnsi"/>
                <w:b/>
                <w:lang w:val="hr-HR"/>
              </w:rPr>
              <w:t xml:space="preserve">Obaveze za porez na dobit </w:t>
            </w:r>
          </w:p>
        </w:tc>
        <w:tc>
          <w:tcPr>
            <w:tcW w:w="2268" w:type="dxa"/>
          </w:tcPr>
          <w:p w:rsidR="004F6739" w:rsidRPr="007C5B75" w:rsidRDefault="00F873ED" w:rsidP="00A57842">
            <w:pPr>
              <w:tabs>
                <w:tab w:val="left" w:pos="6510"/>
              </w:tabs>
              <w:jc w:val="right"/>
              <w:rPr>
                <w:rFonts w:asciiTheme="minorHAnsi" w:hAnsiTheme="minorHAnsi"/>
                <w:b/>
                <w:lang w:val="hr-HR"/>
              </w:rPr>
            </w:pPr>
            <w:r>
              <w:rPr>
                <w:rFonts w:asciiTheme="minorHAnsi" w:hAnsiTheme="minorHAnsi"/>
                <w:b/>
                <w:lang w:val="hr-HR"/>
              </w:rPr>
              <w:t>51.</w:t>
            </w:r>
            <w:r w:rsidR="008877D6">
              <w:rPr>
                <w:rFonts w:asciiTheme="minorHAnsi" w:hAnsiTheme="minorHAnsi"/>
                <w:b/>
                <w:lang w:val="hr-HR"/>
              </w:rPr>
              <w:t>773</w:t>
            </w:r>
          </w:p>
        </w:tc>
      </w:tr>
    </w:tbl>
    <w:p w:rsidR="004F2951" w:rsidRPr="004F2951" w:rsidRDefault="004F2951" w:rsidP="004F2951">
      <w:pPr>
        <w:tabs>
          <w:tab w:val="left" w:pos="6510"/>
        </w:tabs>
        <w:jc w:val="both"/>
        <w:rPr>
          <w:rFonts w:asciiTheme="minorHAnsi" w:hAnsiTheme="minorHAnsi" w:cstheme="minorHAnsi"/>
          <w:lang w:val="hr-HR"/>
        </w:rPr>
      </w:pPr>
    </w:p>
    <w:p w:rsidR="00037FBE" w:rsidRPr="004F2951" w:rsidRDefault="00037FBE" w:rsidP="000E0B06">
      <w:pPr>
        <w:pStyle w:val="ListParagraph"/>
        <w:numPr>
          <w:ilvl w:val="0"/>
          <w:numId w:val="13"/>
        </w:numPr>
        <w:tabs>
          <w:tab w:val="left" w:pos="6510"/>
        </w:tabs>
        <w:jc w:val="both"/>
        <w:rPr>
          <w:rFonts w:asciiTheme="minorHAnsi" w:hAnsiTheme="minorHAnsi" w:cstheme="minorHAnsi"/>
          <w:b/>
          <w:lang w:val="hr-HR"/>
        </w:rPr>
      </w:pPr>
      <w:r w:rsidRPr="004F2951">
        <w:rPr>
          <w:rFonts w:asciiTheme="minorHAnsi" w:hAnsiTheme="minorHAnsi" w:cstheme="minorHAnsi"/>
          <w:b/>
          <w:lang w:val="hr-HR"/>
        </w:rPr>
        <w:t>Povezana lica Društva:</w:t>
      </w:r>
    </w:p>
    <w:p w:rsidR="001454CD" w:rsidRPr="001454CD" w:rsidRDefault="001454CD" w:rsidP="00037FBE">
      <w:pPr>
        <w:tabs>
          <w:tab w:val="left" w:pos="6510"/>
        </w:tabs>
        <w:jc w:val="both"/>
        <w:rPr>
          <w:rFonts w:asciiTheme="minorHAnsi" w:hAnsiTheme="minorHAnsi" w:cstheme="minorHAnsi"/>
          <w:lang w:val="hr-HR"/>
        </w:rPr>
      </w:pPr>
    </w:p>
    <w:p w:rsidR="001454CD" w:rsidRPr="001454CD" w:rsidRDefault="001454CD" w:rsidP="00037FBE">
      <w:pPr>
        <w:tabs>
          <w:tab w:val="left" w:pos="6510"/>
        </w:tabs>
        <w:jc w:val="both"/>
        <w:rPr>
          <w:rFonts w:asciiTheme="minorHAnsi" w:hAnsiTheme="minorHAnsi" w:cstheme="minorHAnsi"/>
          <w:lang w:val="hr-HR"/>
        </w:rPr>
      </w:pPr>
      <w:r w:rsidRPr="001454CD">
        <w:rPr>
          <w:rFonts w:asciiTheme="minorHAnsi" w:hAnsiTheme="minorHAnsi" w:cstheme="minorHAnsi"/>
          <w:lang w:val="hr-HR"/>
        </w:rPr>
        <w:t>Povezanost po osnovu vlasništva:</w:t>
      </w:r>
    </w:p>
    <w:p w:rsidR="00037FBE" w:rsidRPr="001454CD" w:rsidRDefault="00037FBE" w:rsidP="00037FBE">
      <w:pPr>
        <w:tabs>
          <w:tab w:val="left" w:pos="6510"/>
        </w:tabs>
        <w:jc w:val="both"/>
        <w:rPr>
          <w:rFonts w:asciiTheme="minorHAnsi" w:hAnsiTheme="minorHAnsi" w:cstheme="minorHAnsi"/>
          <w:b/>
          <w:highlight w:val="yellow"/>
          <w:lang w:val="hr-HR"/>
        </w:rPr>
      </w:pPr>
    </w:p>
    <w:p w:rsidR="00037FBE" w:rsidRPr="001454CD" w:rsidRDefault="00037FBE" w:rsidP="00037FBE">
      <w:pPr>
        <w:numPr>
          <w:ilvl w:val="0"/>
          <w:numId w:val="7"/>
        </w:numPr>
        <w:jc w:val="both"/>
        <w:rPr>
          <w:rFonts w:asciiTheme="minorHAnsi" w:hAnsiTheme="minorHAnsi" w:cstheme="minorHAnsi"/>
          <w:lang w:val="sr-Latn-CS"/>
        </w:rPr>
      </w:pPr>
      <w:r w:rsidRPr="001454CD">
        <w:rPr>
          <w:rFonts w:asciiTheme="minorHAnsi" w:hAnsiTheme="minorHAnsi" w:cstheme="minorHAnsi"/>
          <w:lang w:val="sr-Latn-BA"/>
        </w:rPr>
        <w:t>Akcionari Društva</w:t>
      </w:r>
      <w:r w:rsidRPr="001454CD">
        <w:rPr>
          <w:rFonts w:asciiTheme="minorHAnsi" w:hAnsiTheme="minorHAnsi" w:cstheme="minorHAnsi"/>
          <w:lang w:val="sr-Latn-CS"/>
        </w:rPr>
        <w:t xml:space="preserve"> (Kristal Konsalting a.d. Banja Luka, Thalervermögensverwaltung GmbH Wien</w:t>
      </w:r>
      <w:r w:rsidR="00807D5B">
        <w:rPr>
          <w:rFonts w:asciiTheme="minorHAnsi" w:hAnsiTheme="minorHAnsi" w:cstheme="minorHAnsi"/>
          <w:lang w:val="sr-Cyrl-BA"/>
        </w:rPr>
        <w:t xml:space="preserve"> i</w:t>
      </w:r>
      <w:r w:rsidRPr="001454CD">
        <w:rPr>
          <w:rFonts w:asciiTheme="minorHAnsi" w:hAnsiTheme="minorHAnsi" w:cstheme="minorHAnsi"/>
          <w:lang w:val="sr-Cyrl-BA"/>
        </w:rPr>
        <w:t>i njihova povezana lica</w:t>
      </w:r>
      <w:r w:rsidRPr="001454CD">
        <w:rPr>
          <w:rFonts w:asciiTheme="minorHAnsi" w:hAnsiTheme="minorHAnsi" w:cstheme="minorHAnsi"/>
          <w:lang w:val="sr-Latn-CS"/>
        </w:rPr>
        <w:t>);</w:t>
      </w:r>
    </w:p>
    <w:p w:rsidR="001454CD" w:rsidRPr="001454CD" w:rsidRDefault="001454CD" w:rsidP="001454CD">
      <w:pPr>
        <w:ind w:left="928"/>
        <w:jc w:val="both"/>
        <w:rPr>
          <w:rFonts w:asciiTheme="minorHAnsi" w:hAnsiTheme="minorHAnsi" w:cstheme="minorHAnsi"/>
          <w:lang w:val="sr-Latn-CS"/>
        </w:rPr>
      </w:pPr>
    </w:p>
    <w:p w:rsidR="001454CD" w:rsidRPr="001454CD" w:rsidRDefault="001454CD" w:rsidP="001454CD">
      <w:pPr>
        <w:jc w:val="both"/>
        <w:rPr>
          <w:rFonts w:asciiTheme="minorHAnsi" w:hAnsiTheme="minorHAnsi" w:cstheme="minorHAnsi"/>
          <w:lang w:val="sr-Latn-CS"/>
        </w:rPr>
      </w:pPr>
      <w:r w:rsidRPr="001454CD">
        <w:rPr>
          <w:rFonts w:asciiTheme="minorHAnsi" w:hAnsiTheme="minorHAnsi" w:cstheme="minorHAnsi"/>
          <w:lang w:val="sr-Latn-CS"/>
        </w:rPr>
        <w:t>Zaposleni i Upravni odbor:</w:t>
      </w:r>
    </w:p>
    <w:p w:rsidR="001454CD" w:rsidRPr="001454CD" w:rsidRDefault="001454CD" w:rsidP="001454CD">
      <w:pPr>
        <w:jc w:val="both"/>
        <w:rPr>
          <w:rFonts w:asciiTheme="minorHAnsi" w:hAnsiTheme="minorHAnsi" w:cstheme="minorHAnsi"/>
          <w:lang w:val="sr-Latn-CS"/>
        </w:rPr>
      </w:pPr>
    </w:p>
    <w:p w:rsidR="00037FBE" w:rsidRPr="001454CD" w:rsidRDefault="00037FBE" w:rsidP="00037FBE">
      <w:pPr>
        <w:numPr>
          <w:ilvl w:val="0"/>
          <w:numId w:val="7"/>
        </w:numPr>
        <w:jc w:val="both"/>
        <w:rPr>
          <w:rFonts w:asciiTheme="minorHAnsi" w:hAnsiTheme="minorHAnsi" w:cstheme="minorHAnsi"/>
          <w:lang w:val="sr-Latn-CS"/>
        </w:rPr>
      </w:pPr>
      <w:r w:rsidRPr="001454CD">
        <w:rPr>
          <w:rFonts w:asciiTheme="minorHAnsi" w:hAnsiTheme="minorHAnsi" w:cstheme="minorHAnsi"/>
          <w:lang w:val="sr-Cyrl-BA"/>
        </w:rPr>
        <w:t>Upravni odbor Društva (Jelena Mrkobrada, Mag. Dr Georg Thaler i Tripko Krgović i njihova povezana lica);</w:t>
      </w:r>
    </w:p>
    <w:p w:rsidR="00037FBE" w:rsidRPr="001454CD" w:rsidRDefault="00037FBE" w:rsidP="00037FBE">
      <w:pPr>
        <w:numPr>
          <w:ilvl w:val="0"/>
          <w:numId w:val="7"/>
        </w:numPr>
        <w:jc w:val="both"/>
        <w:rPr>
          <w:rFonts w:asciiTheme="minorHAnsi" w:hAnsiTheme="minorHAnsi" w:cstheme="minorHAnsi"/>
          <w:lang w:val="sr-Latn-CS"/>
        </w:rPr>
      </w:pPr>
      <w:r w:rsidRPr="001454CD">
        <w:rPr>
          <w:rFonts w:asciiTheme="minorHAnsi" w:hAnsiTheme="minorHAnsi" w:cstheme="minorHAnsi"/>
          <w:lang w:val="sr-Cyrl-BA"/>
        </w:rPr>
        <w:t>Izvršni direktori i ostali zaposleni u Društvu i njihova povezana lica;</w:t>
      </w:r>
    </w:p>
    <w:p w:rsidR="001454CD" w:rsidRPr="001454CD" w:rsidRDefault="001454CD" w:rsidP="001454CD">
      <w:pPr>
        <w:jc w:val="both"/>
        <w:rPr>
          <w:rFonts w:asciiTheme="minorHAnsi" w:hAnsiTheme="minorHAnsi" w:cstheme="minorHAnsi"/>
          <w:lang w:val="sr-Latn-BA"/>
        </w:rPr>
      </w:pPr>
    </w:p>
    <w:p w:rsidR="00CB47A1" w:rsidRDefault="00CB47A1" w:rsidP="00CB47A1">
      <w:pPr>
        <w:pStyle w:val="ListParagraph"/>
        <w:numPr>
          <w:ilvl w:val="0"/>
          <w:numId w:val="13"/>
        </w:numPr>
        <w:tabs>
          <w:tab w:val="left" w:pos="6510"/>
        </w:tabs>
        <w:jc w:val="both"/>
        <w:rPr>
          <w:rFonts w:asciiTheme="minorHAnsi" w:hAnsiTheme="minorHAnsi" w:cstheme="minorHAnsi"/>
          <w:b/>
          <w:lang w:val="hr-HR"/>
        </w:rPr>
      </w:pPr>
      <w:r>
        <w:rPr>
          <w:rFonts w:asciiTheme="minorHAnsi" w:hAnsiTheme="minorHAnsi" w:cstheme="minorHAnsi"/>
          <w:b/>
          <w:lang w:val="hr-HR"/>
        </w:rPr>
        <w:t>Događaji nakon bilansiranja:</w:t>
      </w:r>
    </w:p>
    <w:p w:rsidR="00CB47A1" w:rsidRDefault="00CB47A1" w:rsidP="00CB47A1">
      <w:pPr>
        <w:tabs>
          <w:tab w:val="left" w:pos="6510"/>
        </w:tabs>
        <w:jc w:val="both"/>
        <w:rPr>
          <w:rFonts w:asciiTheme="minorHAnsi" w:hAnsiTheme="minorHAnsi" w:cstheme="minorHAnsi"/>
          <w:b/>
          <w:lang w:val="hr-HR"/>
        </w:rPr>
      </w:pPr>
    </w:p>
    <w:p w:rsidR="00CB47A1" w:rsidRPr="000713C1" w:rsidRDefault="000713C1" w:rsidP="00CB47A1">
      <w:pPr>
        <w:tabs>
          <w:tab w:val="left" w:pos="6510"/>
        </w:tabs>
        <w:jc w:val="both"/>
        <w:rPr>
          <w:rFonts w:asciiTheme="minorHAnsi" w:hAnsiTheme="minorHAnsi" w:cstheme="minorHAnsi"/>
          <w:lang w:val="hr-HR"/>
        </w:rPr>
      </w:pPr>
      <w:r>
        <w:rPr>
          <w:rFonts w:asciiTheme="minorHAnsi" w:hAnsiTheme="minorHAnsi" w:cstheme="minorHAnsi"/>
          <w:lang w:val="hr-HR"/>
        </w:rPr>
        <w:t>Značajnih događaja nakon bilnasiranja nije bi</w:t>
      </w:r>
      <w:r w:rsidR="004C23BB">
        <w:rPr>
          <w:rFonts w:asciiTheme="minorHAnsi" w:hAnsiTheme="minorHAnsi" w:cstheme="minorHAnsi"/>
          <w:lang w:val="hr-HR"/>
        </w:rPr>
        <w:t>lo , osim odluke Skupštine od 16.01.2025</w:t>
      </w:r>
      <w:r>
        <w:rPr>
          <w:rFonts w:asciiTheme="minorHAnsi" w:hAnsiTheme="minorHAnsi" w:cstheme="minorHAnsi"/>
          <w:lang w:val="hr-HR"/>
        </w:rPr>
        <w:t>. godine o isplat</w:t>
      </w:r>
      <w:r w:rsidR="00073DC5">
        <w:rPr>
          <w:rFonts w:asciiTheme="minorHAnsi" w:hAnsiTheme="minorHAnsi" w:cstheme="minorHAnsi"/>
          <w:lang w:val="hr-HR"/>
        </w:rPr>
        <w:t>i dividende akcionarima Društva.</w:t>
      </w:r>
    </w:p>
    <w:p w:rsidR="002F509E" w:rsidRPr="001454CD" w:rsidRDefault="002F509E" w:rsidP="005F5D4B">
      <w:pPr>
        <w:tabs>
          <w:tab w:val="left" w:pos="6510"/>
        </w:tabs>
        <w:jc w:val="both"/>
        <w:rPr>
          <w:rFonts w:asciiTheme="minorHAnsi" w:hAnsiTheme="minorHAnsi" w:cstheme="minorHAnsi"/>
          <w:b/>
          <w:highlight w:val="yellow"/>
          <w:lang w:val="hr-HR"/>
        </w:rPr>
      </w:pPr>
    </w:p>
    <w:p w:rsidR="00AC324B" w:rsidRDefault="00AC324B" w:rsidP="005C07F0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p w:rsidR="00AC324B" w:rsidRDefault="00AC324B" w:rsidP="005C07F0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p w:rsidR="002E23E6" w:rsidRDefault="000778F3" w:rsidP="005C07F0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>Februar</w:t>
      </w:r>
      <w:r w:rsidR="0019765A">
        <w:rPr>
          <w:rFonts w:asciiTheme="minorHAnsi" w:hAnsiTheme="minorHAnsi"/>
          <w:lang w:val="hr-HR"/>
        </w:rPr>
        <w:t xml:space="preserve">, </w:t>
      </w:r>
      <w:r w:rsidR="001621C9">
        <w:rPr>
          <w:rFonts w:asciiTheme="minorHAnsi" w:hAnsiTheme="minorHAnsi"/>
          <w:lang w:val="hr-HR"/>
        </w:rPr>
        <w:t>2025</w:t>
      </w:r>
      <w:r w:rsidR="0001200E" w:rsidRPr="00814D3C">
        <w:rPr>
          <w:rFonts w:asciiTheme="minorHAnsi" w:hAnsiTheme="minorHAnsi"/>
          <w:lang w:val="hr-HR"/>
        </w:rPr>
        <w:t xml:space="preserve">. </w:t>
      </w:r>
      <w:r w:rsidR="00BB0E8F">
        <w:rPr>
          <w:rFonts w:asciiTheme="minorHAnsi" w:hAnsiTheme="minorHAnsi"/>
          <w:lang w:val="hr-HR"/>
        </w:rPr>
        <w:t>g</w:t>
      </w:r>
      <w:r w:rsidR="0001200E" w:rsidRPr="00814D3C">
        <w:rPr>
          <w:rFonts w:asciiTheme="minorHAnsi" w:hAnsiTheme="minorHAnsi"/>
          <w:lang w:val="hr-HR"/>
        </w:rPr>
        <w:t>od</w:t>
      </w:r>
    </w:p>
    <w:p w:rsidR="00AC324B" w:rsidRDefault="00AC324B" w:rsidP="005C07F0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p w:rsidR="00AC324B" w:rsidRDefault="00AC324B" w:rsidP="005C07F0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p w:rsidR="00AC324B" w:rsidRDefault="00AC324B" w:rsidP="00AC324B">
      <w:pPr>
        <w:tabs>
          <w:tab w:val="left" w:pos="6510"/>
        </w:tabs>
        <w:rPr>
          <w:rFonts w:asciiTheme="minorHAnsi" w:hAnsiTheme="minorHAnsi"/>
          <w:lang w:val="hr-HR"/>
        </w:rPr>
      </w:pPr>
      <w:r w:rsidRPr="00814D3C">
        <w:rPr>
          <w:rFonts w:asciiTheme="minorHAnsi" w:hAnsiTheme="minorHAnsi"/>
          <w:lang w:val="hr-HR"/>
        </w:rPr>
        <w:t xml:space="preserve"> Lice odgovorno za sastavljanje izvještaja </w:t>
      </w:r>
      <w:r>
        <w:rPr>
          <w:rFonts w:asciiTheme="minorHAnsi" w:hAnsiTheme="minorHAnsi"/>
          <w:lang w:val="hr-HR"/>
        </w:rPr>
        <w:t>:</w:t>
      </w:r>
      <w:r w:rsidRPr="00814D3C">
        <w:rPr>
          <w:rFonts w:asciiTheme="minorHAnsi" w:hAnsiTheme="minorHAnsi"/>
          <w:lang w:val="hr-HR"/>
        </w:rPr>
        <w:t xml:space="preserve">                </w:t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  <w:t>Izvršni direktori :</w:t>
      </w:r>
      <w:r w:rsidRPr="00814D3C">
        <w:rPr>
          <w:rFonts w:asciiTheme="minorHAnsi" w:hAnsiTheme="minorHAnsi"/>
          <w:lang w:val="hr-HR"/>
        </w:rPr>
        <w:t xml:space="preserve">                  </w:t>
      </w:r>
    </w:p>
    <w:p w:rsidR="00AC324B" w:rsidRDefault="00AC324B" w:rsidP="00AC324B">
      <w:pPr>
        <w:tabs>
          <w:tab w:val="left" w:pos="6510"/>
        </w:tabs>
        <w:rPr>
          <w:rFonts w:asciiTheme="minorHAnsi" w:hAnsiTheme="minorHAnsi"/>
          <w:lang w:val="hr-HR"/>
        </w:rPr>
      </w:pPr>
    </w:p>
    <w:p w:rsidR="00AC324B" w:rsidRDefault="00AC324B" w:rsidP="00AC324B">
      <w:pPr>
        <w:tabs>
          <w:tab w:val="left" w:pos="6510"/>
        </w:tabs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 xml:space="preserve">        _____________________</w:t>
      </w:r>
      <w:r w:rsidRPr="00814D3C">
        <w:rPr>
          <w:rFonts w:asciiTheme="minorHAnsi" w:hAnsiTheme="minorHAnsi"/>
          <w:lang w:val="hr-HR"/>
        </w:rPr>
        <w:t xml:space="preserve">                      </w:t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  <w:t>______________</w:t>
      </w:r>
    </w:p>
    <w:p w:rsidR="00AC324B" w:rsidRDefault="00AC324B" w:rsidP="00AC324B">
      <w:pPr>
        <w:tabs>
          <w:tab w:val="left" w:pos="6510"/>
        </w:tabs>
        <w:rPr>
          <w:rFonts w:asciiTheme="minorHAnsi" w:hAnsiTheme="minorHAnsi"/>
          <w:lang w:val="hr-HR"/>
        </w:rPr>
      </w:pPr>
    </w:p>
    <w:p w:rsidR="00AC324B" w:rsidRDefault="00AC324B" w:rsidP="00AC324B">
      <w:pPr>
        <w:tabs>
          <w:tab w:val="left" w:pos="6510"/>
        </w:tabs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  <w:t>______________</w:t>
      </w:r>
    </w:p>
    <w:p w:rsidR="006212C0" w:rsidRPr="005C07F0" w:rsidRDefault="006212C0" w:rsidP="005C07F0">
      <w:pPr>
        <w:tabs>
          <w:tab w:val="left" w:pos="6510"/>
        </w:tabs>
        <w:jc w:val="both"/>
        <w:rPr>
          <w:rFonts w:asciiTheme="minorHAnsi" w:hAnsiTheme="minorHAnsi"/>
          <w:lang w:val="hr-HR"/>
        </w:rPr>
      </w:pPr>
    </w:p>
    <w:sectPr w:rsidR="006212C0" w:rsidRPr="005C07F0" w:rsidSect="006426E4">
      <w:footerReference w:type="default" r:id="rId9"/>
      <w:pgSz w:w="12240" w:h="15840"/>
      <w:pgMar w:top="720" w:right="720" w:bottom="720" w:left="72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A10" w:rsidRDefault="004B5A10" w:rsidP="0068569E">
      <w:r>
        <w:separator/>
      </w:r>
    </w:p>
  </w:endnote>
  <w:endnote w:type="continuationSeparator" w:id="0">
    <w:p w:rsidR="004B5A10" w:rsidRDefault="004B5A10" w:rsidP="00685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TE2t00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226" w:rsidRDefault="00D9322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22F03">
      <w:rPr>
        <w:noProof/>
      </w:rPr>
      <w:t>13</w:t>
    </w:r>
    <w:r>
      <w:rPr>
        <w:noProof/>
      </w:rPr>
      <w:fldChar w:fldCharType="end"/>
    </w:r>
  </w:p>
  <w:p w:rsidR="00D93226" w:rsidRDefault="00D932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A10" w:rsidRDefault="004B5A10" w:rsidP="0068569E">
      <w:r>
        <w:separator/>
      </w:r>
    </w:p>
  </w:footnote>
  <w:footnote w:type="continuationSeparator" w:id="0">
    <w:p w:rsidR="004B5A10" w:rsidRDefault="004B5A10" w:rsidP="006856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8C3"/>
    <w:multiLevelType w:val="hybridMultilevel"/>
    <w:tmpl w:val="99F00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93058"/>
    <w:multiLevelType w:val="hybridMultilevel"/>
    <w:tmpl w:val="7FF69058"/>
    <w:lvl w:ilvl="0" w:tplc="AEA2E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D7C0A"/>
    <w:multiLevelType w:val="hybridMultilevel"/>
    <w:tmpl w:val="C6AA1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0E670B"/>
    <w:multiLevelType w:val="hybridMultilevel"/>
    <w:tmpl w:val="519C21D0"/>
    <w:lvl w:ilvl="0" w:tplc="040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0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0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0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0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4">
    <w:nsid w:val="1C885439"/>
    <w:multiLevelType w:val="hybridMultilevel"/>
    <w:tmpl w:val="093CA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C1A20"/>
    <w:multiLevelType w:val="hybridMultilevel"/>
    <w:tmpl w:val="40CAE8F0"/>
    <w:lvl w:ilvl="0" w:tplc="722EECC0">
      <w:numFmt w:val="bullet"/>
      <w:lvlText w:val="-"/>
      <w:lvlJc w:val="left"/>
      <w:pPr>
        <w:tabs>
          <w:tab w:val="num" w:pos="439"/>
        </w:tabs>
        <w:ind w:left="43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5D961A56"/>
    <w:multiLevelType w:val="hybridMultilevel"/>
    <w:tmpl w:val="5934B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2B6028"/>
    <w:multiLevelType w:val="hybridMultilevel"/>
    <w:tmpl w:val="3F88C8F8"/>
    <w:lvl w:ilvl="0" w:tplc="458EB2AE">
      <w:start w:val="716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0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0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0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0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8">
    <w:nsid w:val="625B1B3B"/>
    <w:multiLevelType w:val="hybridMultilevel"/>
    <w:tmpl w:val="A442EC64"/>
    <w:lvl w:ilvl="0" w:tplc="AEA2E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DA38C4"/>
    <w:multiLevelType w:val="hybridMultilevel"/>
    <w:tmpl w:val="2B20E8CC"/>
    <w:lvl w:ilvl="0" w:tplc="A87E5E1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85794B"/>
    <w:multiLevelType w:val="hybridMultilevel"/>
    <w:tmpl w:val="6420A4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481CFE"/>
    <w:multiLevelType w:val="hybridMultilevel"/>
    <w:tmpl w:val="209A0F9E"/>
    <w:lvl w:ilvl="0" w:tplc="722EECC0">
      <w:numFmt w:val="bullet"/>
      <w:lvlText w:val="-"/>
      <w:lvlJc w:val="left"/>
      <w:pPr>
        <w:tabs>
          <w:tab w:val="num" w:pos="379"/>
        </w:tabs>
        <w:ind w:left="37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99"/>
        </w:tabs>
        <w:ind w:left="10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19"/>
        </w:tabs>
        <w:ind w:left="18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39"/>
        </w:tabs>
        <w:ind w:left="25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59"/>
        </w:tabs>
        <w:ind w:left="32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79"/>
        </w:tabs>
        <w:ind w:left="39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99"/>
        </w:tabs>
        <w:ind w:left="46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19"/>
        </w:tabs>
        <w:ind w:left="54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39"/>
        </w:tabs>
        <w:ind w:left="6139" w:hanging="360"/>
      </w:pPr>
      <w:rPr>
        <w:rFonts w:ascii="Wingdings" w:hAnsi="Wingdings" w:hint="default"/>
      </w:rPr>
    </w:lvl>
  </w:abstractNum>
  <w:abstractNum w:abstractNumId="12">
    <w:nsid w:val="783320EF"/>
    <w:multiLevelType w:val="hybridMultilevel"/>
    <w:tmpl w:val="093CA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BF64C5"/>
    <w:multiLevelType w:val="hybridMultilevel"/>
    <w:tmpl w:val="6BEEE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75492F"/>
    <w:multiLevelType w:val="hybridMultilevel"/>
    <w:tmpl w:val="39DE422E"/>
    <w:lvl w:ilvl="0" w:tplc="458EB2AE">
      <w:start w:val="7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5"/>
  </w:num>
  <w:num w:numId="4">
    <w:abstractNumId w:val="8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1"/>
  </w:num>
  <w:num w:numId="9">
    <w:abstractNumId w:val="9"/>
  </w:num>
  <w:num w:numId="10">
    <w:abstractNumId w:val="2"/>
  </w:num>
  <w:num w:numId="11">
    <w:abstractNumId w:val="4"/>
  </w:num>
  <w:num w:numId="12">
    <w:abstractNumId w:val="12"/>
  </w:num>
  <w:num w:numId="13">
    <w:abstractNumId w:val="13"/>
  </w:num>
  <w:num w:numId="14">
    <w:abstractNumId w:val="6"/>
  </w:num>
  <w:num w:numId="15">
    <w:abstractNumId w:val="1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00E"/>
    <w:rsid w:val="000005F6"/>
    <w:rsid w:val="0000281B"/>
    <w:rsid w:val="000061ED"/>
    <w:rsid w:val="0001200E"/>
    <w:rsid w:val="000146BF"/>
    <w:rsid w:val="0001541A"/>
    <w:rsid w:val="00017DA8"/>
    <w:rsid w:val="00032BF0"/>
    <w:rsid w:val="000339FB"/>
    <w:rsid w:val="000361F5"/>
    <w:rsid w:val="00037FBE"/>
    <w:rsid w:val="00042912"/>
    <w:rsid w:val="00044550"/>
    <w:rsid w:val="00056149"/>
    <w:rsid w:val="00057D86"/>
    <w:rsid w:val="000619AD"/>
    <w:rsid w:val="00062A47"/>
    <w:rsid w:val="00065707"/>
    <w:rsid w:val="000713C1"/>
    <w:rsid w:val="00073DC5"/>
    <w:rsid w:val="000745F3"/>
    <w:rsid w:val="0007569F"/>
    <w:rsid w:val="000778F3"/>
    <w:rsid w:val="000800B5"/>
    <w:rsid w:val="00085957"/>
    <w:rsid w:val="000921F9"/>
    <w:rsid w:val="000963AB"/>
    <w:rsid w:val="000A1253"/>
    <w:rsid w:val="000A5BF6"/>
    <w:rsid w:val="000B0F06"/>
    <w:rsid w:val="000B4BE6"/>
    <w:rsid w:val="000B6AD5"/>
    <w:rsid w:val="000B70B2"/>
    <w:rsid w:val="000B792C"/>
    <w:rsid w:val="000B7FCE"/>
    <w:rsid w:val="000C4E25"/>
    <w:rsid w:val="000C5E30"/>
    <w:rsid w:val="000C7E9A"/>
    <w:rsid w:val="000D1678"/>
    <w:rsid w:val="000D3004"/>
    <w:rsid w:val="000E0B06"/>
    <w:rsid w:val="000E4973"/>
    <w:rsid w:val="000F0F9E"/>
    <w:rsid w:val="000F3539"/>
    <w:rsid w:val="000F5813"/>
    <w:rsid w:val="000F6DA7"/>
    <w:rsid w:val="00113BBB"/>
    <w:rsid w:val="00115E78"/>
    <w:rsid w:val="00116792"/>
    <w:rsid w:val="0011754C"/>
    <w:rsid w:val="0012117F"/>
    <w:rsid w:val="00121FF5"/>
    <w:rsid w:val="001225B8"/>
    <w:rsid w:val="00124A73"/>
    <w:rsid w:val="0013152C"/>
    <w:rsid w:val="00136703"/>
    <w:rsid w:val="001373E1"/>
    <w:rsid w:val="00137F12"/>
    <w:rsid w:val="001406B7"/>
    <w:rsid w:val="00142E68"/>
    <w:rsid w:val="001454CD"/>
    <w:rsid w:val="00146198"/>
    <w:rsid w:val="0015096D"/>
    <w:rsid w:val="00150DAB"/>
    <w:rsid w:val="00152135"/>
    <w:rsid w:val="00156E6C"/>
    <w:rsid w:val="001577FE"/>
    <w:rsid w:val="001621C9"/>
    <w:rsid w:val="00166E05"/>
    <w:rsid w:val="00166F65"/>
    <w:rsid w:val="00167BD5"/>
    <w:rsid w:val="001718D6"/>
    <w:rsid w:val="00172164"/>
    <w:rsid w:val="00176B08"/>
    <w:rsid w:val="001916F5"/>
    <w:rsid w:val="00194778"/>
    <w:rsid w:val="001950CF"/>
    <w:rsid w:val="0019765A"/>
    <w:rsid w:val="001A11F3"/>
    <w:rsid w:val="001A399A"/>
    <w:rsid w:val="001B09F0"/>
    <w:rsid w:val="001B24F3"/>
    <w:rsid w:val="001B398F"/>
    <w:rsid w:val="001B62B1"/>
    <w:rsid w:val="001C2339"/>
    <w:rsid w:val="001C7B4E"/>
    <w:rsid w:val="001D0A63"/>
    <w:rsid w:val="001D0DB9"/>
    <w:rsid w:val="001D32E8"/>
    <w:rsid w:val="001D35A0"/>
    <w:rsid w:val="001D5951"/>
    <w:rsid w:val="001D70B4"/>
    <w:rsid w:val="001D77CE"/>
    <w:rsid w:val="001F1017"/>
    <w:rsid w:val="001F1236"/>
    <w:rsid w:val="001F2388"/>
    <w:rsid w:val="001F2BC4"/>
    <w:rsid w:val="001F3D8C"/>
    <w:rsid w:val="001F556F"/>
    <w:rsid w:val="00203669"/>
    <w:rsid w:val="00203C40"/>
    <w:rsid w:val="0020402E"/>
    <w:rsid w:val="0020437F"/>
    <w:rsid w:val="00207B1E"/>
    <w:rsid w:val="0021790D"/>
    <w:rsid w:val="0022153C"/>
    <w:rsid w:val="00224618"/>
    <w:rsid w:val="00224E0C"/>
    <w:rsid w:val="00225522"/>
    <w:rsid w:val="00242CA7"/>
    <w:rsid w:val="00245A5B"/>
    <w:rsid w:val="0024613C"/>
    <w:rsid w:val="00247B5F"/>
    <w:rsid w:val="00260321"/>
    <w:rsid w:val="0026038F"/>
    <w:rsid w:val="002665C6"/>
    <w:rsid w:val="00270349"/>
    <w:rsid w:val="00275736"/>
    <w:rsid w:val="00275E85"/>
    <w:rsid w:val="002776F7"/>
    <w:rsid w:val="002827D0"/>
    <w:rsid w:val="0028366F"/>
    <w:rsid w:val="002847AA"/>
    <w:rsid w:val="002927BD"/>
    <w:rsid w:val="00292A94"/>
    <w:rsid w:val="0029348E"/>
    <w:rsid w:val="002943E8"/>
    <w:rsid w:val="002A37D4"/>
    <w:rsid w:val="002A56BF"/>
    <w:rsid w:val="002A59B6"/>
    <w:rsid w:val="002B0BFF"/>
    <w:rsid w:val="002B276E"/>
    <w:rsid w:val="002B5A89"/>
    <w:rsid w:val="002C01B3"/>
    <w:rsid w:val="002C23E7"/>
    <w:rsid w:val="002C2A7A"/>
    <w:rsid w:val="002C34B1"/>
    <w:rsid w:val="002C3E46"/>
    <w:rsid w:val="002C5A0D"/>
    <w:rsid w:val="002E23E6"/>
    <w:rsid w:val="002F509E"/>
    <w:rsid w:val="003043DD"/>
    <w:rsid w:val="00306B15"/>
    <w:rsid w:val="00307FA9"/>
    <w:rsid w:val="00316BDA"/>
    <w:rsid w:val="0032477F"/>
    <w:rsid w:val="00331F8A"/>
    <w:rsid w:val="003328B1"/>
    <w:rsid w:val="0033380A"/>
    <w:rsid w:val="003354C2"/>
    <w:rsid w:val="00350DA2"/>
    <w:rsid w:val="003544C2"/>
    <w:rsid w:val="00355331"/>
    <w:rsid w:val="00370A41"/>
    <w:rsid w:val="00370BA1"/>
    <w:rsid w:val="0037187D"/>
    <w:rsid w:val="00372886"/>
    <w:rsid w:val="003728D5"/>
    <w:rsid w:val="0037373C"/>
    <w:rsid w:val="003758F8"/>
    <w:rsid w:val="00377E52"/>
    <w:rsid w:val="00387641"/>
    <w:rsid w:val="003901F2"/>
    <w:rsid w:val="00393419"/>
    <w:rsid w:val="003955D0"/>
    <w:rsid w:val="0039688C"/>
    <w:rsid w:val="003A1FEB"/>
    <w:rsid w:val="003A7D9B"/>
    <w:rsid w:val="003C1EEE"/>
    <w:rsid w:val="003D5746"/>
    <w:rsid w:val="003E491F"/>
    <w:rsid w:val="003F05DB"/>
    <w:rsid w:val="003F11F9"/>
    <w:rsid w:val="003F5BA5"/>
    <w:rsid w:val="00400B6E"/>
    <w:rsid w:val="0040193D"/>
    <w:rsid w:val="0040243C"/>
    <w:rsid w:val="00407805"/>
    <w:rsid w:val="00407F73"/>
    <w:rsid w:val="004117BB"/>
    <w:rsid w:val="004152F9"/>
    <w:rsid w:val="00420046"/>
    <w:rsid w:val="00420F65"/>
    <w:rsid w:val="00422F91"/>
    <w:rsid w:val="00424228"/>
    <w:rsid w:val="00424722"/>
    <w:rsid w:val="00424C4A"/>
    <w:rsid w:val="0042564C"/>
    <w:rsid w:val="00425780"/>
    <w:rsid w:val="004279F2"/>
    <w:rsid w:val="00431B20"/>
    <w:rsid w:val="004349FE"/>
    <w:rsid w:val="004350A2"/>
    <w:rsid w:val="00437207"/>
    <w:rsid w:val="004473E4"/>
    <w:rsid w:val="004511C2"/>
    <w:rsid w:val="00452883"/>
    <w:rsid w:val="00453899"/>
    <w:rsid w:val="00456589"/>
    <w:rsid w:val="004573D7"/>
    <w:rsid w:val="00466B4C"/>
    <w:rsid w:val="00471E08"/>
    <w:rsid w:val="00473D74"/>
    <w:rsid w:val="00474579"/>
    <w:rsid w:val="00482B9A"/>
    <w:rsid w:val="00493B06"/>
    <w:rsid w:val="00495881"/>
    <w:rsid w:val="00497725"/>
    <w:rsid w:val="004A0391"/>
    <w:rsid w:val="004B05E0"/>
    <w:rsid w:val="004B2262"/>
    <w:rsid w:val="004B2F67"/>
    <w:rsid w:val="004B5A10"/>
    <w:rsid w:val="004C23BB"/>
    <w:rsid w:val="004C583B"/>
    <w:rsid w:val="004C6BB9"/>
    <w:rsid w:val="004E06AF"/>
    <w:rsid w:val="004E06DB"/>
    <w:rsid w:val="004E5139"/>
    <w:rsid w:val="004F0C3D"/>
    <w:rsid w:val="004F2951"/>
    <w:rsid w:val="004F5E1C"/>
    <w:rsid w:val="004F6739"/>
    <w:rsid w:val="004F76B9"/>
    <w:rsid w:val="005016FB"/>
    <w:rsid w:val="005028D0"/>
    <w:rsid w:val="00503A84"/>
    <w:rsid w:val="00507E9A"/>
    <w:rsid w:val="00511AB1"/>
    <w:rsid w:val="00512549"/>
    <w:rsid w:val="00531F17"/>
    <w:rsid w:val="00532872"/>
    <w:rsid w:val="005334B4"/>
    <w:rsid w:val="00553B29"/>
    <w:rsid w:val="00554336"/>
    <w:rsid w:val="00555BFF"/>
    <w:rsid w:val="00563215"/>
    <w:rsid w:val="00566BF7"/>
    <w:rsid w:val="00567AFB"/>
    <w:rsid w:val="00572E2C"/>
    <w:rsid w:val="005739FF"/>
    <w:rsid w:val="00575602"/>
    <w:rsid w:val="005930F5"/>
    <w:rsid w:val="00594DE3"/>
    <w:rsid w:val="005966D7"/>
    <w:rsid w:val="005A364A"/>
    <w:rsid w:val="005B1368"/>
    <w:rsid w:val="005B3BFA"/>
    <w:rsid w:val="005B5A3B"/>
    <w:rsid w:val="005C07F0"/>
    <w:rsid w:val="005C10F0"/>
    <w:rsid w:val="005C1497"/>
    <w:rsid w:val="005C163E"/>
    <w:rsid w:val="005C224C"/>
    <w:rsid w:val="005D0B44"/>
    <w:rsid w:val="005D3587"/>
    <w:rsid w:val="005D39FA"/>
    <w:rsid w:val="005D4676"/>
    <w:rsid w:val="005D53B1"/>
    <w:rsid w:val="005D76DF"/>
    <w:rsid w:val="005F1127"/>
    <w:rsid w:val="005F22A7"/>
    <w:rsid w:val="005F36EC"/>
    <w:rsid w:val="005F5D4B"/>
    <w:rsid w:val="006003C3"/>
    <w:rsid w:val="006155CC"/>
    <w:rsid w:val="00617266"/>
    <w:rsid w:val="006212C0"/>
    <w:rsid w:val="006278CA"/>
    <w:rsid w:val="006426E4"/>
    <w:rsid w:val="00646EAB"/>
    <w:rsid w:val="00646EE0"/>
    <w:rsid w:val="00650404"/>
    <w:rsid w:val="00657ED3"/>
    <w:rsid w:val="0066069C"/>
    <w:rsid w:val="00662EC5"/>
    <w:rsid w:val="006635F6"/>
    <w:rsid w:val="00664F47"/>
    <w:rsid w:val="00673B7B"/>
    <w:rsid w:val="006827F4"/>
    <w:rsid w:val="0068569E"/>
    <w:rsid w:val="00685742"/>
    <w:rsid w:val="006858C7"/>
    <w:rsid w:val="00690745"/>
    <w:rsid w:val="00692FAB"/>
    <w:rsid w:val="0069305C"/>
    <w:rsid w:val="00695095"/>
    <w:rsid w:val="006A28EF"/>
    <w:rsid w:val="006B1978"/>
    <w:rsid w:val="006B3A74"/>
    <w:rsid w:val="006B52A2"/>
    <w:rsid w:val="006C42B1"/>
    <w:rsid w:val="006C6855"/>
    <w:rsid w:val="006D0811"/>
    <w:rsid w:val="006D2807"/>
    <w:rsid w:val="006D289E"/>
    <w:rsid w:val="006F2107"/>
    <w:rsid w:val="00703792"/>
    <w:rsid w:val="00705499"/>
    <w:rsid w:val="00706CA3"/>
    <w:rsid w:val="00712EB8"/>
    <w:rsid w:val="00713771"/>
    <w:rsid w:val="00715BE4"/>
    <w:rsid w:val="00717097"/>
    <w:rsid w:val="00725ADC"/>
    <w:rsid w:val="00725B8B"/>
    <w:rsid w:val="00727CC5"/>
    <w:rsid w:val="007317D8"/>
    <w:rsid w:val="00736884"/>
    <w:rsid w:val="0074670A"/>
    <w:rsid w:val="007535CE"/>
    <w:rsid w:val="00754AAE"/>
    <w:rsid w:val="00754D10"/>
    <w:rsid w:val="00757D7D"/>
    <w:rsid w:val="0076352E"/>
    <w:rsid w:val="00764FDA"/>
    <w:rsid w:val="007705C4"/>
    <w:rsid w:val="00770C17"/>
    <w:rsid w:val="00780348"/>
    <w:rsid w:val="00781F42"/>
    <w:rsid w:val="007828C8"/>
    <w:rsid w:val="007863A3"/>
    <w:rsid w:val="007912FC"/>
    <w:rsid w:val="00793981"/>
    <w:rsid w:val="00794C34"/>
    <w:rsid w:val="0079616D"/>
    <w:rsid w:val="007A76E9"/>
    <w:rsid w:val="007B20B3"/>
    <w:rsid w:val="007C1A63"/>
    <w:rsid w:val="007C1FD0"/>
    <w:rsid w:val="007C4CD0"/>
    <w:rsid w:val="007C5B75"/>
    <w:rsid w:val="007D0DC7"/>
    <w:rsid w:val="007D2598"/>
    <w:rsid w:val="007D3F09"/>
    <w:rsid w:val="007D40C3"/>
    <w:rsid w:val="007D6A52"/>
    <w:rsid w:val="007D6C32"/>
    <w:rsid w:val="007E0F30"/>
    <w:rsid w:val="007E4F32"/>
    <w:rsid w:val="007E5327"/>
    <w:rsid w:val="007E5D59"/>
    <w:rsid w:val="007E6584"/>
    <w:rsid w:val="008039A8"/>
    <w:rsid w:val="0080594E"/>
    <w:rsid w:val="00807D5B"/>
    <w:rsid w:val="00810A82"/>
    <w:rsid w:val="0081120E"/>
    <w:rsid w:val="00811B71"/>
    <w:rsid w:val="00812474"/>
    <w:rsid w:val="00814D3C"/>
    <w:rsid w:val="00815BEA"/>
    <w:rsid w:val="00820F94"/>
    <w:rsid w:val="008251BD"/>
    <w:rsid w:val="00833272"/>
    <w:rsid w:val="00837DC3"/>
    <w:rsid w:val="00840C21"/>
    <w:rsid w:val="008441A2"/>
    <w:rsid w:val="00850E6D"/>
    <w:rsid w:val="00854723"/>
    <w:rsid w:val="00854D6F"/>
    <w:rsid w:val="00857821"/>
    <w:rsid w:val="00864A49"/>
    <w:rsid w:val="00866C0E"/>
    <w:rsid w:val="00882E82"/>
    <w:rsid w:val="00886E8F"/>
    <w:rsid w:val="008877D6"/>
    <w:rsid w:val="00890DCD"/>
    <w:rsid w:val="0089201A"/>
    <w:rsid w:val="0089306F"/>
    <w:rsid w:val="00893FF7"/>
    <w:rsid w:val="00894E02"/>
    <w:rsid w:val="008A0039"/>
    <w:rsid w:val="008A4A62"/>
    <w:rsid w:val="008A5AC2"/>
    <w:rsid w:val="008A5D3A"/>
    <w:rsid w:val="008B5DBE"/>
    <w:rsid w:val="008C0576"/>
    <w:rsid w:val="008C6FDD"/>
    <w:rsid w:val="008D1919"/>
    <w:rsid w:val="008D7E03"/>
    <w:rsid w:val="008E143C"/>
    <w:rsid w:val="008E2673"/>
    <w:rsid w:val="008E442F"/>
    <w:rsid w:val="008E5AEC"/>
    <w:rsid w:val="008E7EB9"/>
    <w:rsid w:val="008F0ED9"/>
    <w:rsid w:val="008F3C8B"/>
    <w:rsid w:val="008F3CA7"/>
    <w:rsid w:val="008F5A69"/>
    <w:rsid w:val="00900AF1"/>
    <w:rsid w:val="00907A06"/>
    <w:rsid w:val="009113C7"/>
    <w:rsid w:val="00920F49"/>
    <w:rsid w:val="009221B2"/>
    <w:rsid w:val="00922F03"/>
    <w:rsid w:val="00930230"/>
    <w:rsid w:val="00931624"/>
    <w:rsid w:val="00935CC9"/>
    <w:rsid w:val="009379A2"/>
    <w:rsid w:val="0094119F"/>
    <w:rsid w:val="009626CB"/>
    <w:rsid w:val="009638E1"/>
    <w:rsid w:val="00964B30"/>
    <w:rsid w:val="009655A9"/>
    <w:rsid w:val="00965C8F"/>
    <w:rsid w:val="0097227E"/>
    <w:rsid w:val="0097528D"/>
    <w:rsid w:val="0097668C"/>
    <w:rsid w:val="009809C2"/>
    <w:rsid w:val="00982815"/>
    <w:rsid w:val="009851BD"/>
    <w:rsid w:val="00985A4F"/>
    <w:rsid w:val="009863FB"/>
    <w:rsid w:val="00987148"/>
    <w:rsid w:val="00987B28"/>
    <w:rsid w:val="00994995"/>
    <w:rsid w:val="009A27D2"/>
    <w:rsid w:val="009B1656"/>
    <w:rsid w:val="009B1C20"/>
    <w:rsid w:val="009B685A"/>
    <w:rsid w:val="009C1530"/>
    <w:rsid w:val="009C24E2"/>
    <w:rsid w:val="009C3955"/>
    <w:rsid w:val="009C59EA"/>
    <w:rsid w:val="009C6F66"/>
    <w:rsid w:val="009D4314"/>
    <w:rsid w:val="00A02927"/>
    <w:rsid w:val="00A02D33"/>
    <w:rsid w:val="00A036BD"/>
    <w:rsid w:val="00A04045"/>
    <w:rsid w:val="00A043D8"/>
    <w:rsid w:val="00A0666B"/>
    <w:rsid w:val="00A14252"/>
    <w:rsid w:val="00A14734"/>
    <w:rsid w:val="00A33455"/>
    <w:rsid w:val="00A33510"/>
    <w:rsid w:val="00A36CAA"/>
    <w:rsid w:val="00A42D9B"/>
    <w:rsid w:val="00A43FDD"/>
    <w:rsid w:val="00A4693C"/>
    <w:rsid w:val="00A46E6C"/>
    <w:rsid w:val="00A509BF"/>
    <w:rsid w:val="00A5136F"/>
    <w:rsid w:val="00A5373E"/>
    <w:rsid w:val="00A5427C"/>
    <w:rsid w:val="00A542BA"/>
    <w:rsid w:val="00A57842"/>
    <w:rsid w:val="00A62821"/>
    <w:rsid w:val="00A62D60"/>
    <w:rsid w:val="00A6415D"/>
    <w:rsid w:val="00A7337A"/>
    <w:rsid w:val="00A740C1"/>
    <w:rsid w:val="00A75359"/>
    <w:rsid w:val="00A75482"/>
    <w:rsid w:val="00A8353E"/>
    <w:rsid w:val="00A965A9"/>
    <w:rsid w:val="00AA08E5"/>
    <w:rsid w:val="00AA23C7"/>
    <w:rsid w:val="00AA6122"/>
    <w:rsid w:val="00AB314F"/>
    <w:rsid w:val="00AB5DA3"/>
    <w:rsid w:val="00AB6135"/>
    <w:rsid w:val="00AB6999"/>
    <w:rsid w:val="00AB7A25"/>
    <w:rsid w:val="00AB7C14"/>
    <w:rsid w:val="00AC2B1D"/>
    <w:rsid w:val="00AC324B"/>
    <w:rsid w:val="00AC40CD"/>
    <w:rsid w:val="00AC6A44"/>
    <w:rsid w:val="00AD04EB"/>
    <w:rsid w:val="00AD5C5E"/>
    <w:rsid w:val="00AD64EC"/>
    <w:rsid w:val="00AD70DF"/>
    <w:rsid w:val="00AE1AAA"/>
    <w:rsid w:val="00AE7142"/>
    <w:rsid w:val="00AF247B"/>
    <w:rsid w:val="00AF2BCF"/>
    <w:rsid w:val="00AF59EA"/>
    <w:rsid w:val="00B02D60"/>
    <w:rsid w:val="00B0439A"/>
    <w:rsid w:val="00B056BB"/>
    <w:rsid w:val="00B0574A"/>
    <w:rsid w:val="00B1475B"/>
    <w:rsid w:val="00B15CD5"/>
    <w:rsid w:val="00B16FBE"/>
    <w:rsid w:val="00B22DBD"/>
    <w:rsid w:val="00B36ACA"/>
    <w:rsid w:val="00B41361"/>
    <w:rsid w:val="00B418E3"/>
    <w:rsid w:val="00B42437"/>
    <w:rsid w:val="00B4718D"/>
    <w:rsid w:val="00B4778F"/>
    <w:rsid w:val="00B54A34"/>
    <w:rsid w:val="00B616B5"/>
    <w:rsid w:val="00B621AB"/>
    <w:rsid w:val="00B6241A"/>
    <w:rsid w:val="00B62BEB"/>
    <w:rsid w:val="00B66904"/>
    <w:rsid w:val="00B70383"/>
    <w:rsid w:val="00B73654"/>
    <w:rsid w:val="00B77255"/>
    <w:rsid w:val="00B83AC2"/>
    <w:rsid w:val="00B844EB"/>
    <w:rsid w:val="00B84802"/>
    <w:rsid w:val="00B8545C"/>
    <w:rsid w:val="00B91287"/>
    <w:rsid w:val="00B93449"/>
    <w:rsid w:val="00B96971"/>
    <w:rsid w:val="00BA2561"/>
    <w:rsid w:val="00BA3B88"/>
    <w:rsid w:val="00BA4C69"/>
    <w:rsid w:val="00BA55E5"/>
    <w:rsid w:val="00BA7DA5"/>
    <w:rsid w:val="00BB0B3F"/>
    <w:rsid w:val="00BB0E8F"/>
    <w:rsid w:val="00BB69AE"/>
    <w:rsid w:val="00BC2E9B"/>
    <w:rsid w:val="00BC3A20"/>
    <w:rsid w:val="00BC7B91"/>
    <w:rsid w:val="00BD031A"/>
    <w:rsid w:val="00BD3139"/>
    <w:rsid w:val="00BD3CF7"/>
    <w:rsid w:val="00BD3DCD"/>
    <w:rsid w:val="00BD6948"/>
    <w:rsid w:val="00BE0B45"/>
    <w:rsid w:val="00BE1228"/>
    <w:rsid w:val="00BE612C"/>
    <w:rsid w:val="00BF32C6"/>
    <w:rsid w:val="00BF5BD2"/>
    <w:rsid w:val="00BF617D"/>
    <w:rsid w:val="00BF741C"/>
    <w:rsid w:val="00C0231D"/>
    <w:rsid w:val="00C024AC"/>
    <w:rsid w:val="00C06F93"/>
    <w:rsid w:val="00C14821"/>
    <w:rsid w:val="00C17203"/>
    <w:rsid w:val="00C21F2C"/>
    <w:rsid w:val="00C23E30"/>
    <w:rsid w:val="00C24738"/>
    <w:rsid w:val="00C26805"/>
    <w:rsid w:val="00C40900"/>
    <w:rsid w:val="00C5003D"/>
    <w:rsid w:val="00C501A1"/>
    <w:rsid w:val="00C50ECC"/>
    <w:rsid w:val="00C53F39"/>
    <w:rsid w:val="00C63E3A"/>
    <w:rsid w:val="00C66125"/>
    <w:rsid w:val="00C70D7F"/>
    <w:rsid w:val="00C80412"/>
    <w:rsid w:val="00C80F53"/>
    <w:rsid w:val="00C85465"/>
    <w:rsid w:val="00C86963"/>
    <w:rsid w:val="00C86ECF"/>
    <w:rsid w:val="00C934BA"/>
    <w:rsid w:val="00C95D56"/>
    <w:rsid w:val="00C964F4"/>
    <w:rsid w:val="00CA421E"/>
    <w:rsid w:val="00CA5BA9"/>
    <w:rsid w:val="00CB47A1"/>
    <w:rsid w:val="00CB4891"/>
    <w:rsid w:val="00CD3762"/>
    <w:rsid w:val="00CD449A"/>
    <w:rsid w:val="00CE2271"/>
    <w:rsid w:val="00CE3AA7"/>
    <w:rsid w:val="00CE54A7"/>
    <w:rsid w:val="00CF0398"/>
    <w:rsid w:val="00CF0A86"/>
    <w:rsid w:val="00CF19C3"/>
    <w:rsid w:val="00CF21AA"/>
    <w:rsid w:val="00CF2A2C"/>
    <w:rsid w:val="00D03529"/>
    <w:rsid w:val="00D057C7"/>
    <w:rsid w:val="00D108D2"/>
    <w:rsid w:val="00D11B1C"/>
    <w:rsid w:val="00D20AB1"/>
    <w:rsid w:val="00D213E6"/>
    <w:rsid w:val="00D27AFA"/>
    <w:rsid w:val="00D313B9"/>
    <w:rsid w:val="00D37638"/>
    <w:rsid w:val="00D45465"/>
    <w:rsid w:val="00D4659E"/>
    <w:rsid w:val="00D472FD"/>
    <w:rsid w:val="00D53705"/>
    <w:rsid w:val="00D537CA"/>
    <w:rsid w:val="00D5782C"/>
    <w:rsid w:val="00D63A1E"/>
    <w:rsid w:val="00D65178"/>
    <w:rsid w:val="00D728DF"/>
    <w:rsid w:val="00D74A2E"/>
    <w:rsid w:val="00D77557"/>
    <w:rsid w:val="00D81A27"/>
    <w:rsid w:val="00D825D2"/>
    <w:rsid w:val="00D93226"/>
    <w:rsid w:val="00D9641A"/>
    <w:rsid w:val="00DA23D5"/>
    <w:rsid w:val="00DC6D0B"/>
    <w:rsid w:val="00DD247E"/>
    <w:rsid w:val="00DD3739"/>
    <w:rsid w:val="00DD7B42"/>
    <w:rsid w:val="00DE4C4C"/>
    <w:rsid w:val="00DE5B76"/>
    <w:rsid w:val="00DF190D"/>
    <w:rsid w:val="00DF3181"/>
    <w:rsid w:val="00DF3FD7"/>
    <w:rsid w:val="00DF5701"/>
    <w:rsid w:val="00E0171B"/>
    <w:rsid w:val="00E05798"/>
    <w:rsid w:val="00E124A6"/>
    <w:rsid w:val="00E13052"/>
    <w:rsid w:val="00E24104"/>
    <w:rsid w:val="00E26FF5"/>
    <w:rsid w:val="00E27CC1"/>
    <w:rsid w:val="00E32B02"/>
    <w:rsid w:val="00E372B1"/>
    <w:rsid w:val="00E47E40"/>
    <w:rsid w:val="00E5095C"/>
    <w:rsid w:val="00E50BC8"/>
    <w:rsid w:val="00E51937"/>
    <w:rsid w:val="00E52036"/>
    <w:rsid w:val="00E52F67"/>
    <w:rsid w:val="00E52FEE"/>
    <w:rsid w:val="00E66473"/>
    <w:rsid w:val="00E66CFE"/>
    <w:rsid w:val="00E731F6"/>
    <w:rsid w:val="00E77241"/>
    <w:rsid w:val="00E80565"/>
    <w:rsid w:val="00E86A18"/>
    <w:rsid w:val="00E92012"/>
    <w:rsid w:val="00E97EC2"/>
    <w:rsid w:val="00EA4D08"/>
    <w:rsid w:val="00EB15F3"/>
    <w:rsid w:val="00EB1E31"/>
    <w:rsid w:val="00EB22D1"/>
    <w:rsid w:val="00EC150F"/>
    <w:rsid w:val="00EC3972"/>
    <w:rsid w:val="00EC4AB7"/>
    <w:rsid w:val="00EC4C84"/>
    <w:rsid w:val="00ED189B"/>
    <w:rsid w:val="00EE0319"/>
    <w:rsid w:val="00EE2FBE"/>
    <w:rsid w:val="00EF3A1B"/>
    <w:rsid w:val="00EF4D48"/>
    <w:rsid w:val="00F0272D"/>
    <w:rsid w:val="00F035D1"/>
    <w:rsid w:val="00F048B9"/>
    <w:rsid w:val="00F052ED"/>
    <w:rsid w:val="00F06C92"/>
    <w:rsid w:val="00F17633"/>
    <w:rsid w:val="00F20D4C"/>
    <w:rsid w:val="00F22F6B"/>
    <w:rsid w:val="00F23069"/>
    <w:rsid w:val="00F32FD2"/>
    <w:rsid w:val="00F3374A"/>
    <w:rsid w:val="00F3709B"/>
    <w:rsid w:val="00F426F4"/>
    <w:rsid w:val="00F43A09"/>
    <w:rsid w:val="00F45E17"/>
    <w:rsid w:val="00F46438"/>
    <w:rsid w:val="00F46D01"/>
    <w:rsid w:val="00F60D6F"/>
    <w:rsid w:val="00F60F81"/>
    <w:rsid w:val="00F74941"/>
    <w:rsid w:val="00F84EC0"/>
    <w:rsid w:val="00F84ED7"/>
    <w:rsid w:val="00F8574B"/>
    <w:rsid w:val="00F873ED"/>
    <w:rsid w:val="00F903E3"/>
    <w:rsid w:val="00F91E09"/>
    <w:rsid w:val="00F92098"/>
    <w:rsid w:val="00F9262B"/>
    <w:rsid w:val="00F948E1"/>
    <w:rsid w:val="00F950E6"/>
    <w:rsid w:val="00F965F6"/>
    <w:rsid w:val="00FA2E8C"/>
    <w:rsid w:val="00FA7F34"/>
    <w:rsid w:val="00FB1687"/>
    <w:rsid w:val="00FB5279"/>
    <w:rsid w:val="00FB5A1B"/>
    <w:rsid w:val="00FB6B11"/>
    <w:rsid w:val="00FB6CC3"/>
    <w:rsid w:val="00FC3DF8"/>
    <w:rsid w:val="00FC632D"/>
    <w:rsid w:val="00FC6727"/>
    <w:rsid w:val="00FD360F"/>
    <w:rsid w:val="00FD5506"/>
    <w:rsid w:val="00FD5F71"/>
    <w:rsid w:val="00FD700D"/>
    <w:rsid w:val="00FE1264"/>
    <w:rsid w:val="00FE325E"/>
    <w:rsid w:val="00FE3670"/>
    <w:rsid w:val="00FE4814"/>
    <w:rsid w:val="00FE7805"/>
    <w:rsid w:val="00FF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120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200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029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43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3DD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632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32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321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2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321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507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1D70B4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1D70B4"/>
    <w:rPr>
      <w:rFonts w:ascii="TTE2t00" w:hAnsi="TTE2t00" w:hint="default"/>
      <w:b w:val="0"/>
      <w:bCs w:val="0"/>
      <w:i w:val="0"/>
      <w:iCs w:val="0"/>
      <w:color w:val="000000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A740C1"/>
    <w:rPr>
      <w:rFonts w:ascii="Calibri" w:hAnsi="Calibri"/>
      <w:sz w:val="20"/>
      <w:szCs w:val="20"/>
      <w:lang w:val="x-none" w:eastAsia="x-none"/>
    </w:rPr>
  </w:style>
  <w:style w:type="character" w:customStyle="1" w:styleId="NoSpacingChar">
    <w:name w:val="No Spacing Char"/>
    <w:link w:val="NoSpacing"/>
    <w:uiPriority w:val="1"/>
    <w:rsid w:val="00A740C1"/>
    <w:rPr>
      <w:rFonts w:ascii="Calibri" w:eastAsia="Times New Roman" w:hAnsi="Calibri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120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200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029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43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3DD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632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32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321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2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321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507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1D70B4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1D70B4"/>
    <w:rPr>
      <w:rFonts w:ascii="TTE2t00" w:hAnsi="TTE2t00" w:hint="default"/>
      <w:b w:val="0"/>
      <w:bCs w:val="0"/>
      <w:i w:val="0"/>
      <w:iCs w:val="0"/>
      <w:color w:val="000000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A740C1"/>
    <w:rPr>
      <w:rFonts w:ascii="Calibri" w:hAnsi="Calibri"/>
      <w:sz w:val="20"/>
      <w:szCs w:val="20"/>
      <w:lang w:val="x-none" w:eastAsia="x-none"/>
    </w:rPr>
  </w:style>
  <w:style w:type="character" w:customStyle="1" w:styleId="NoSpacingChar">
    <w:name w:val="No Spacing Char"/>
    <w:link w:val="NoSpacing"/>
    <w:uiPriority w:val="1"/>
    <w:rsid w:val="00A740C1"/>
    <w:rPr>
      <w:rFonts w:ascii="Calibri" w:eastAsia="Times New Roman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3DBD4-3682-4804-BEDE-D43030E73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20460</TotalTime>
  <Pages>14</Pages>
  <Words>3264</Words>
  <Characters>18606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dpersa</dc:creator>
  <cp:lastModifiedBy>Persa DUJAKOVIC</cp:lastModifiedBy>
  <cp:revision>134</cp:revision>
  <cp:lastPrinted>2018-01-26T07:35:00Z</cp:lastPrinted>
  <dcterms:created xsi:type="dcterms:W3CDTF">2022-11-28T12:32:00Z</dcterms:created>
  <dcterms:modified xsi:type="dcterms:W3CDTF">2025-02-17T08:35:00Z</dcterms:modified>
</cp:coreProperties>
</file>